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KHG — Kostenerstattung für durch den Bund beschaffte Produkte</w:t>
      </w:r>
    </w:p>
    <w:p>
      <w:r>
        <w:rPr>
          <w:color w:val="555555"/>
          <w:sz w:val="18"/>
        </w:rPr>
        <w:t xml:space="preserve">Krankenhausfinanzierungsgesetz</w:t>
      </w:r>
    </w:p>
    <w:p>
      <w:r>
        <w:rPr>
          <w:color w:val="555555"/>
          <w:sz w:val="18"/>
        </w:rPr>
        <w:t xml:space="preserve">Stand: 20.11.2020 (konsolidierte Textfassung, kein amtliches Inkrafttretensdatum)</w:t>
      </w:r>
    </w:p>
    <w:p>
      <w:r>
        <w:t xml:space="preserve">(1) Für nicht anderweitig finanzierte Kosten, die den Krankenhäusern für Produkte entstehen, die während einer vom Deutschen Bundestag nach § 5 Absatz 1 Satz 1 des Infektionsschutzgesetzes festgestellten epidemischen Lage von nationaler Tragweite durch den Bund zentral beschafft, vorfinanziert und kostenpflichtig an die Krankenhäuser abgegeben werden, berechnen die Krankenhäuser bei Patientinnen und Patienten, die zur voll- oder teilstationären Krankenhausbehandlung in das Krankenhaus aufgenommen werden und bei deren Versorgung die Produkte zum Einsatz kommen, Zusatzentgelte nach Absatz 2.</w:t>
      </w:r>
    </w:p>
    <w:p>
      <w:r>
        <w:t xml:space="preserve">(2) Die Vertragsparteien nach § 17b Absatz 2 Satz 1 vereinbaren innerhalb von zwei Wochen, nachdem das Bundesministerium für Gesundheit ihnen die Beschaffung der Produkte mitgeteilt hat, die Höhe und die näheren Einzelheiten zur Abrechnung eines Zusatzentgelts nach Absatz 1. Die Höhe der Zusatzentgelte entspricht den nicht anderweitig finanzierten Kosten, die den Krankenhäusern durch den Bezug der Produkte entstanden sind. Kommt eine Vereinbarung nach Satz 1 nicht innerhalb dieser Frist zustande, legt die Schiedsstelle nach § 18a Absatz 6 die Höhe und die näheren Einzelheiten zur Abrechnung eines Zusatzentgelts ohne Antrag einer Vertragspartei innerhalb von zwei weiteren Wochen fest.</w:t>
      </w:r>
    </w:p>
    <w:p>
      <w:r>
        <w:rPr>
          <w:color w:val="555555"/>
          <w:sz w:val="17"/>
        </w:rPr>
        <w:t xml:space="preserve">Zitiervorschlag: § 26c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