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KHG — Überprüfung der Auswirkungen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17.12.2021 (konsolidierte Textfassung, kein amtliches Inkrafttretensdatum)</w:t>
      </w:r>
    </w:p>
    <w:p>
      <w:r>
        <w:t xml:space="preserve">Das Bundesministerium für Gesundheit überprüft die Auswirkungen der Reglungen in den §§ 21 bis 23 auf die wirtschaftliche Lage der Krankenhäuser. Bei der Überprüfung der Auswirkungen der Regelung des § 21a ist insbesondere die Belastung der Krankenhäuser auf Grund der Entwicklung der Zahl der mit dem Coronavirus SARS-CoV-2 Infizierten zu berücksichtigen. Es kann hierfür einen Beirat von Vertreterinnen und Vertretern aus Fachkreisen einberufen, die insoweit über besondere Erfahrung verfügen.</w:t>
      </w:r>
    </w:p>
    <w:p>
      <w:r>
        <w:rPr>
          <w:color w:val="555555"/>
          <w:sz w:val="17"/>
        </w:rPr>
        <w:t xml:space="preserve">Zitiervorschlag: § 24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