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KHG — Behandlung in Vorsorge- und Rehabilitationseinrichtungen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17.12.2021 (konsolidierte Textfassung, kein amtliches Inkrafttretensdatum)</w:t>
      </w:r>
    </w:p>
    <w:p>
      <w:r>
        <w:t xml:space="preserve">(1) Die Länder können Vorsorge- und Rehabilitationseinrichtungen bestimmen, in denen Patientinnen und Patienten, die einer nicht aufschiebbaren akutstationären Krankenhausversorgung nach § 39 des Fünften Buches Sozialgesetzbuch bedürfen, vollstationär behandelt werden können, wenn mit diesen Einrichtungen</w:t>
      </w:r>
    </w:p>
    <w:p>
      <w:pPr>
        <w:ind w:left="420"/>
      </w:pPr>
      <w:r>
        <w:t xml:space="preserve">1. ein Versorgungsvertrag nach § 111 Absatz 2 des Fünften Buches Sozialgesetzbuch besteht,</w:t>
      </w:r>
    </w:p>
    <w:p>
      <w:pPr>
        <w:ind w:left="420"/>
      </w:pPr>
      <w:r>
        <w:t xml:space="preserve">2. ein Vertrag nach § 15 Absatz 2 des Sechsten Buches in Verbindung mit § 38 des Neunten Buches Sozialgesetzbuch besteht oder wenn sie von der gesetzlichen Rentenversicherung selbst betrieben werden, oder</w:t>
      </w:r>
    </w:p>
    <w:p>
      <w:pPr>
        <w:ind w:left="420"/>
      </w:pPr>
      <w:r>
        <w:t xml:space="preserve">3. ein Vertrag nach § 34 des Siebten Buches Sozialgesetzbuch besteht.</w:t>
      </w:r>
    </w:p>
    <w:p>
      <w:r>
        <w:t xml:space="preserve">Die in Satz 1 genannten Einrichtungen gelten für die Behandlung von bis zum 31. Januar 2021 aufgenommenen Patientinnen und Patienten als zugelassene Krankenhäuser nach § 108 des Fünften Buches Sozialgesetzbuch.</w:t>
      </w:r>
    </w:p>
    <w:p>
      <w:r>
        <w:t xml:space="preserve">(2) Die Vertragsparteien nach § 17b Absatz 2 vereinbaren bis zum 31. Dezember 2021 Pauschalbeträge für</w:t>
      </w:r>
    </w:p>
    <w:p>
      <w:pPr>
        <w:ind w:left="420"/>
      </w:pPr>
      <w:r>
        <w:t xml:space="preserve">1. die Vergütung der von den in Absatz 1 genannten Einrichtungen erbrachten Behandlungsleistungen,</w:t>
      </w:r>
    </w:p>
    <w:p>
      <w:pPr>
        <w:ind w:left="420"/>
      </w:pPr>
      <w:r>
        <w:t xml:space="preserve">2. Zuschläge für entstehende Mehraufwendungen und</w:t>
      </w:r>
    </w:p>
    <w:p>
      <w:pPr>
        <w:ind w:left="420"/>
      </w:pPr>
      <w:r>
        <w:t xml:space="preserve">3. das Nähere zum Verfahren der Abrechnung der Vergütungen.</w:t>
      </w:r>
    </w:p>
    <w:p>
      <w:r>
        <w:t xml:space="preserve">Kommt eine Vereinbarung nach Satz 1 nicht innerhalb dieser Frist zustande, legt die Schiedsstelle nach § 18a Absatz 6 den Inhalt der Vereinbarung ohne Antrag einer Vertragspartei innerhalb von weiteren vier Wochen fest.</w:t>
      </w:r>
    </w:p>
    <w:p>
      <w:r>
        <w:rPr>
          <w:color w:val="555555"/>
          <w:sz w:val="17"/>
        </w:rPr>
        <w:t xml:space="preserve">Zitiervorschlag: § 22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