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KHG — Einführung eines pauschalierenden Entgeltsystems für DRG-Krankenhäuser, Verordnungsermächtigung</w:t>
      </w:r>
    </w:p>
    <w:p>
      <w:r>
        <w:rPr>
          <w:color w:val="555555"/>
          <w:sz w:val="18"/>
        </w:rPr>
        <w:t xml:space="preserve">Krankenhausfinanzierungsgesetz</w:t>
      </w:r>
    </w:p>
    <w:p>
      <w:r>
        <w:rPr>
          <w:color w:val="555555"/>
          <w:sz w:val="18"/>
        </w:rPr>
        <w:t xml:space="preserve">Stand: 30.07.2026 (konsolidierte Textfassung, kein amtliches Inkrafttretensdatum)</w:t>
      </w:r>
    </w:p>
    <w:p>
      <w:r>
        <w:t xml:space="preserve">(1) Für die Vergütung der allgemeinen Krankenhausleistungen gilt ein durchgängiges, leistungsorientiertes und pauschalierendes Vergütungssystem, soweit die Absätze 4 und 4b keine abweichenden Regelungen enthalten. Das Vergütungssystem hat Komplexitäten und Komorbiditäten abzubilden; sein Differenzierungsgrad soll praktikabel sein. Mit den Entgelten nach Satz 1 werden die allgemeinen voll- und teilstationären Krankenhausleistungen für einen Behandlungsfall vergütet. Die Fallgruppen und ihre Bewertungsrelationen sind bundeseinheitlich festzulegen. Die Bewertungsrelationen sind als Relativgewichte auf eine Bezugsleistung zu definieren; sie sind für Leistungen, bei denen in erhöhtem Maße wirtschaftlich begründete Fallzahlsteigerungen eingetreten oder zu erwarten sind, gezielt abzusenken oder in Abhängigkeit von der Fallzahl bei diesen Leistungen abgestuft vorzugeben. Um mögliche Fehlanreize durch eine systematische Übervergütung der Sachkostenanteile bei voll- und teilstationären Leistungen jährlich zu analysieren und geeignete Maßnahmen zum Abbau vorhandener Übervergütung zu ergreifen, sind auf der Grundlage eines Konzepts des Instituts für das Entgeltsystem im Krankenhaus sachgerechte Korrekturen der Bewertungsrelationen der Fallpauschalen zu vereinbaren; die Korrekturen der Bewertungsrelationen sind erstmals für die Weiterentwicklung des Vergütungssystems für das Jahr 2021 ausschließlich innerhalb der Fallpauschalenvergütung durchzuführen. Soweit dies zur Ergänzung der Fallpauschalen in eng begrenzten Ausnahmefällen erforderlich ist, können die Vertragsparteien nach Absatz 2 Satz 1 Zusatzentgelte für Leistungen, Leistungskomplexe oder Arzneimittel vereinbaren, insbesondere für die Behandlung von Blutern mit Blutgerinnungsfaktoren oder für eine Dialyse, wenn die Behandlung des Nierenversagens nicht die Hauptleistung ist. Sie vereinbaren auch die Höhe der Entgelte; diese kann nach Regionen differenziert festgelegt werden. Nach Maßgabe des Krankenhausentgeltgesetzes können Entgelte für Leistungen, die nicht durch die Entgeltkataloge erfasst sind, durch die Vertragsparteien nach § 18 Absatz 2 vereinbart werden. Besondere Einrichtungen, deren Leistungen insbesondere aus medizinischen Gründen, wegen einer Häufung von schwerkranken Patienten oder von Patienten mit Behinderungen oder aus Gründen der Versorgungsstruktur mit den Entgeltkatalogen noch nicht sachgerecht vergütet werden, können aus dem Vergütungssystem ausgenommen werden; unabhängig davon, ob die Leistungen mit den Entgeltkatalogen sachgerecht vergütet werden, ist bei Palliativstationen oder -einheiten, die räumlich und organisatorisch abgegrenzt sind und über mindestens fünf Betten verfügen, sowie bei Krankenhäusern, die in die in Satz 14 genannte Liste aufgenommen sind, für das der Veröffentlichung der Liste folgende Kalenderjahr, dafür ein schriftlicher oder elektronischer Antrag des Krankenhauses ausreichend. Entstehen bei Patientinnen oder Patienten mit außerordentlichen Untersuchungs- und Behandlungsabläufen extrem hohe Kostenunterdeckungen, die mit dem pauschalierten Vergütungssystem nicht sachgerecht finanziert werden (Kostenausreißer), sind entsprechende Fälle zur Entwicklung geeigneter Vergütungsformen vertieft zu prüfen. Zur Förderung der palliativmedizinischen Versorgung durch Palliativdienste ist die Kalkulation eines Zusatzentgelts zu ermöglichen; im Einvernehmen mit der betroffenen medizinischen Fachgesellschaft sind die hierfür erforderlichen Kriterien bis zum 29. Februar 2016 zu entwickeln. Zur sachgerechten Abbildung der Kosten von telekonsiliarärztlichen Leistungen haben die Vertragsparteien nach Absatz 2 Satz 1 auf der Grundlage eines Konzepts des Instituts für das Entgeltsystem im Krankenhaus spätestens bis zum 30. September 2024 Entgelte zu vereinbaren. Das Institut für das Entgeltsystem im Krankenhaus ermittelt jährlich auf der Grundlage der nach § 21 Absatz 1 und 2 des Krankenhausentgeltgesetzes jeweils für das vorangegangene Kalenderjahr übermittelten Daten diejenigen Krankenhäuser, die die nachfolgenden Kriterien erfüllen, und veröffentlicht barrierefrei auf seiner Internetseite jährlich bis zum 30. Juni, erstmals bis zum 30. Juni 2025, eine Liste dieser Krankenhäuser:</w:t>
      </w:r>
    </w:p>
    <w:p>
      <w:pPr>
        <w:ind w:left="420"/>
      </w:pPr>
      <w:r>
        <w:t xml:space="preserve">1. in mindestens 75 Prozent der vollstationären, nach dem Krankenhausentgeltgesetz vergüteten Fälle des Krankenhauses waren die Patientinnen und Patienten zum Zeitpunkt der Aufnahme in das Krankenhaus mindestens 28 Tage und unter 18 Jahre alt und</w:t>
      </w:r>
    </w:p>
    <w:p>
      <w:pPr>
        <w:ind w:left="420"/>
      </w:pPr>
      <w:r>
        <w:t xml:space="preserve">2. der auf das Krankenhaus entfallende Anteil an allen vollstationären, nach dem Krankenhausentgeltgesetz vergüteten Fällen, bei denen die Patientinnen und Patienten zum Zeitpunkt der Aufnahme in das Krankenhaus mindestens 28 Tage und unter 18 Jahre alt waren, beträgt mindestens 0,5 Prozent.</w:t>
      </w:r>
    </w:p>
    <w:p>
      <w:r>
        <w:t xml:space="preserve">Auf der Grundlage eines Konzepts des Instituts für das Entgeltsystem im Krankenhaus entscheiden die in Absatz 2 Satz 1 genannten Vertragsparteien bis zum 31. Dezember 2025, wie zur sachgerechten Finanzierung der mit der ärztlichen Weiterbildung verbundenen Mehrkosten bei der Leistungserbringung Zu- und Abschläge für bestimmte Leistungen oder Leistungsbereiche ausgestaltet werden können; erforderliche Zu- und Abschläge sollen möglichst in Abhängigkeit von Qualitätsindikatoren für die Weiterbildung ausgestaltet sein und die voraussichtliche Summe der Zu- und Abschläge soll ausgeglichen sein.</w:t>
      </w:r>
    </w:p>
    <w:p>
      <w:r>
        <w:t xml:space="preserve">(1a) Soweit allgemeine Krankenhausleistungen nicht oder noch nicht in die Entgelte nach Absatz 1 Satz 1 einbezogen werden können, weil der Finanzierungstatbestand nicht in allen Krankenhäusern vorliegt, sind bundeseinheitliche Regelungen für Zu- oder Abschläge zu vereinbaren, insbesondere für</w:t>
      </w:r>
    </w:p>
    <w:p>
      <w:pPr>
        <w:ind w:left="420"/>
      </w:pPr>
      <w:r>
        <w:t xml:space="preserve">1. die Notfallversorgung,</w:t>
      </w:r>
    </w:p>
    <w:p>
      <w:pPr>
        <w:ind w:left="420"/>
      </w:pPr>
      <w:r>
        <w:t xml:space="preserve">2. die besonderen Aufgaben nach § 2 Absatz 2 Satz 2 Nummer 4 des Krankenhausentgeltgesetzes,</w:t>
      </w:r>
    </w:p>
    <w:p>
      <w:pPr>
        <w:ind w:left="420"/>
      </w:pPr>
      <w:r>
        <w:t xml:space="preserve">3. (weggefallen)</w:t>
      </w:r>
    </w:p>
    <w:p>
      <w:pPr>
        <w:ind w:left="420"/>
      </w:pPr>
      <w:r>
        <w:t xml:space="preserve">4. die Beteiligung der Krankenhäuser an Maßnahmen zur Qualitätssicherung auf der Grundlage der §§ 136 und 136b des Fünften Buches Sozialgesetzbuch und die Beteiligung ganzer Krankenhäuser oder wesentlicher Teile der Einrichtungen an einrichtungsübergreifenden Fehlermeldesystemen, sofern diese den Festlegungen des Gemeinsamen Bundesausschusses nach § 136a Absatz 3 Satz 3 des Fünften Buches Sozialgesetzbuch entsprechen,</w:t>
      </w:r>
    </w:p>
    <w:p>
      <w:pPr>
        <w:ind w:left="420"/>
      </w:pPr>
      <w:r>
        <w:t xml:space="preserve">5. befristete Zuschläge für die Finanzierung von Mehrkosten auf Grund von Richtlinien des Gemeinsamen Bundesausschusses,</w:t>
      </w:r>
    </w:p>
    <w:p>
      <w:pPr>
        <w:ind w:left="420"/>
      </w:pPr>
      <w:r>
        <w:t xml:space="preserve">6. die Finanzierung der Sicherstellung einer für die Versorgung der Bevölkerung notwendigen Vorhaltung von Leistungen,</w:t>
      </w:r>
    </w:p>
    <w:p>
      <w:pPr>
        <w:ind w:left="420"/>
      </w:pPr>
      <w:r>
        <w:t xml:space="preserve">7. die Aufnahme von Begleitpersonen nach § 2 Absatz 2 Satz 2 Nummer 3 des Krankenhausentgeltgesetzes und § 2 Absatz 2 Satz 2 Nummer 3 der Bundespflegesatzverordnung,</w:t>
      </w:r>
    </w:p>
    <w:p>
      <w:pPr>
        <w:ind w:left="420"/>
      </w:pPr>
      <w:r>
        <w:t xml:space="preserve">8. den Ausbildungszuschlag nach § 17a Absatz 6,</w:t>
      </w:r>
    </w:p>
    <w:p>
      <w:pPr>
        <w:ind w:left="420"/>
      </w:pPr>
      <w:r>
        <w:t xml:space="preserve">9. den Aufwand, der den verantwortlichen Gesundheitseinrichtungen im Sinne des § 2 Nummer 5 Buchstabe a des Implantateregistergesetzes auf Grund ihrer Pflichten nach den §§ 16 und 17 Absatz 1 des Implantateregistergesetzes sowie den §§ 18, 20, 24 und 25 des Implantateregistergesetzes und für die zu zahlenden Gebühren nach § 33 Absatz 1 Nummer 1 des Implantateregistergesetzes entsteht.</w:t>
      </w:r>
    </w:p>
    <w:p>
      <w:r>
        <w:t xml:space="preserve">(2) Der Spitzenverband Bund der Krankenkassen und der Verband der privaten Krankenversicherung gemeinsam vereinbaren entsprechend den Vorgaben der Absätze 1, 1a, 2a und 3 mit der Deutschen Krankenhausgesellschaft ein Vergütungssystem, das sich an einem international bereits eingesetzten Vergütungssystem auf der Grundlage der Diagnosis Related Groups (DRG) orientiert, seine jährliche Weiterentwicklung und Anpassung, insbesondere an medizinische Entwicklungen, Kostenentwicklungen, Verweildauerverkürzungen und Leistungsverlagerungen zu und von anderen Versorgungsbereichen, und die Abrechnungsbestimmungen, soweit diese nicht im Krankenhausentgeltgesetz vorgegeben werden. Sie orientieren sich dabei unter Wahrung der Qualität der Leistungserbringung an wirtschaftlichen Versorgungsstrukturen und Verfahrensweisen; insbesondere wirken sie mit den Abrechnungsbestimmungen darauf hin, dass die Voraussetzungen, unter denen bei Wiederaufnahme von Patientinnen und Patienten eine Zusammenfassung der Falldaten zu einem Fall und eine Neueinstufung in eine Fallpauschale vorzunehmen sind, dem Wirtschaftlichkeitsgebot hinreichend Rechnung tragen. Die Prüfungsergebnisse nach § 137c des Fünften Buches Sozialgesetzbuch sind zu beachten. Der Bundesärztekammer ist Gelegenheit zur beratenden Teilnahme an den Sitzungen der Vertragsparteien nach Absatz 2 Satz 1 zu geben, soweit medizinische Fragen der Entgelte und der zu Grunde liegenden Leistungsabgrenzung betroffen sind; dies gilt entsprechend für einen Vertreter der Berufsorganisationen der Krankenpflegeberufe. Die betroffenen Fachgesellschaften und, soweit deren Belange berührt sind, die Spitzenorganisationen der pharmazeutischen Industrie und der Industrie für Medizinprodukte erhalten Gelegenheit zur Stellungnahme. Für die gemeinsame Beschlussfassung des Spitzenverbandes Bund der Krankenkassen und des Verbandes der privaten Krankenversicherung haben der Spitzenverband Bund der Krankenkassen zwei Stimmen und der Verband der privaten Krankenversicherung eine Stimme. Das Bundesministerium für Gesundheit kann an den Sitzungen der Vertragsparteien teilnehmen und erhält deren fachliche Unterlagen. Die Vertragsparteien veröffentlichen in geeigneter Weise die Ergebnisse der Kostenerhebungen und Kalkulationen; die der Kalkulation zugrunde liegenden Daten einzelner Krankenhäuser sind vertraulich.</w:t>
      </w:r>
    </w:p>
    <w:p>
      <w:r>
        <w:t xml:space="preserve">(2a) Das Institut für das Entgeltsystem im Krankenhaus erarbeitet bis zum 31. März 2027 ein Konzept für geeignete Fallgruppen für eine gesonderte Kalkulation von Bewertungsrelationen für stationäre Behandlungsfälle mit einer Behandlungsdauer von bis zu drei Kalendertagen und maximal zwei Übernachtungen (Kurzzeitfallpauschalen). Auf der Grundlage dieses Konzepts schließen die Vertragsparteien nach Absatz 2 Satz 1 bis zum 30. April 2027 eine Vereinbarung zur gesonderten Kalkulation von Kurzzeitfallpauschalen. Eine untere Grenzverweildauer entsprechend den nach § 9 Absatz 1 Nummer 1 des Krankenhausentgeltgesetzes zu vereinbarenden Regelungen zur Grenzverweildauer ist für Kurzzeitfallpauschalen nicht zu kalkulieren. Kurzzeitfallpauschalen sind erstmals im Rahmen der Weiterentwicklung des Vergütungssystems für das Jahr 2028 zu kalkulieren und im Entgeltkatalog für das Jahr 2028 auszuweisen. Behandlungsfälle, die mit Kurzzeitfallpauschalen vergütet werden, werden innerhalb der in Satz 1 genannten maximalen Behandlungsdauer unabhängig von der tatsächlichen Behandlungsdauer vergütet; übersteigt die tatsächliche Behandlungsdauer in einem Behandlungsfall die in Satz 1 genannte maximale Behandlungsdauer, so wird dieser Behandlungsfall nicht mit einer Kurzzeitfallpauschale vergütet. Die Vertragsparteien stellen bei der jährlichen Weiterentwicklung und Anpassung des Vergütungssystems nach Absatz 2 sicher, dass Kostensenkungen, die sich bei der jährlichen Kalkulation von Kurzzeitfallpauschalen zeigen, zu einer Absenkung der Kurzzeitfallpauschalen sowie im Ergebnis auch zu einer Absenkung der Summe aller vereinbarten Kurzzeitfallpauschalen führen. Die Vertragsparteien prüfen im Rahmen der jährlichen Weiterentwicklung und Anpassung des Vergütungssystems nach Absatz 2 auf Grundlage der Kalkulation nach Absatz 3 Satz 4, wie viele und welche der mit Kurzzeitfallpauschalen vergüteten Behandlungsfälle ambulant erbracht werden und ob für diese eine Überführung in den nach § 115b Absatz 1 Satz 1 Nummer 1 des Fünften Buches Sozialgesetzbuch vereinbarten oder nach § 115b Absatz 3 Satz 1 des Fünften Buches Sozialgesetzbuch festgesetzten Katalog sachgerecht ist. Die Vertragsparteien überprüfen zudem, ob und inwieweit für Behandlungsfälle, für die eine Kurzzeitfallpauschale kalkuliert und ausgewiesen ist, eine spezielle sektorengleiche Vergütung nach § 115f des Fünften Buches Sozialgesetzbuch abgerechnet werden kann. Die Vertragsparteien legen dem Bundesministerium für Gesundheit alle zwei Jahre, erstmals bis zum 31. Dezember 2030, einen gemeinsamen Bericht über die Auswirkungen der Einführung von Kurzzeitfallpauschalen auf die Versorgung von Patientinnen und Patienten vor. Das Institut für das Entgeltsystem im Krankenhaus hat die für die Erstellung des Berichts erforderlichen Auswertungen vorzunehmen.</w:t>
      </w:r>
    </w:p>
    <w:p>
      <w:r>
        <w:t xml:space="preserve">(3) Die Vertragsparteien nach Absatz 2 Satz 1 vereinbaren bis zum 30. Juni 2000 die Grundstrukturen des Vergütungssystems und des Verfahrens zur Ermittlung der Bewertungsrelationen auf Bundesebene (Bewertungsverfahren), insbesondere der zu Grunde zu legenden Fallgruppen, sowie die Grundzüge ihres Verfahrens zur laufenden Pflege des Systems auf Bundesebene. Die Vertragsparteien vereinbaren die Bewertungsrelationen und die Bewertung der Zu- und Abschläge nach Absatz 1a. Die Bewertungsrelationen werden auf der Grundlage der Fallkosten einer sachgerechten und repräsentativen Auswahl von Krankenhäusern kalkuliert. Auf der Grundlage eines vom Institut für das Entgeltsystem im Krankenhaus zu entwickelnden Vorschlags vereinbaren die Vertragsparteien nach Absatz 2 Satz 1 bis spätestens zum 31. Dezember 2016 ein praktikables Konzept für eine repräsentative Kalkulation nach Satz 3; zur Gewährleistung einer repräsentativen Kalkulation der nach Absatz 4 auszugliedernden Pflegepersonalkosten und des nach Absatz 4b Satz 1 auszugliedernden Betrags für die Vorhaltevergütung hat das Institut für das Entgeltsystem im Krankenhaus das Konzept anzupassen; sofern durch die Kalkulation von Kurzzeitfallpauschalen nach Absatz 2a Anpassungen am Konzept erforderlich werden, hat das Institut für das Entgeltsystem im Krankenhaus diese am Konzept vorzunehmen. Das Institut für das Entgeltsystem im Krankenhaus bestimmt auf der Grundlage des Konzepts nach Satz 4, welche Krankenhäuser an der Kalkulation teilnehmen; diese Krankenhäuser sind zur Übermittlung der für die Durchführung der Kalkulation erforderlichen Daten an das Institut für das Entgeltsystem im Krankenhaus verpflichtet.</w:t>
      </w:r>
    </w:p>
    <w:p>
      <w:r>
        <w:t xml:space="preserve">(3a) Das Institut für das Entgeltsystem im Krankenhaus hat für jede nicht erfolgte, nicht vollständige oder nicht fristgerechte Übermittlung der für die Durchführung der Kalkulation nach Absatz 3 Satz 4 erforderlichen Daten einen Abschlag von den pauschalierten Pflegesätzen nach § 17 Absatz 1 je Standort eines Krankenhauses festzulegen. Eine Übermittlung gilt als nicht vollständig, wenn die Daten von weniger als 95 Prozent der für den jeweiligen Standort eines Krankenhauses an das Institut für das Entgeltsystem im Krankenhaus übermittelten voll- und teilstationären Krankenhausfälle verwertbar sind. Der Abschlag nach Satz 1 ergibt sich aus der Multiplikation der Anzahl der voll- und teilstationären Krankenhausfälle, deren Daten durch das Krankenhaus je Krankenhausstandort nicht übermittelt werden oder zwar übermittelt werden, aber durch das Institut für das Entgeltsystem im Krankenhaus nicht verwertbar sind, mit einem fallbezogenen Abschlagswert. Der fallbezogene Abschlagswert beträgt im ersten Jahr der Datenübermittlung, in dem eine Übermittlung nicht, nicht vollständig oder nicht fristgerecht erfolgt, 20 Euro je voll- und teilstationären Krankenhausfall, dessen Daten nicht übermittelt werden oder zwar übermittelt werden, aber durch das Institut für das Entgeltsystem im Krankenhaus nicht verwertbar sind. Für jedes weitere Jahr der Datenübermittlung, in dem eine Übermittlung nicht, nicht vollständig oder nicht fristgerecht erfolgt, erhöht sich der fallbezogene Abschlagswert nach Satz 4 um jeweils 10 Euro. Abweichend von den Sätzen 3 bis 5 beträgt der Abschlag nach Satz 1 mindestens 20 000 Euro und höchstens 500 000 Euro pro Jahr der Datenübermittlung. Das Institut für das Entgeltsystem im Krankenhaus unterrichtet jeweils die Vertragsparteien nach § 18 Absatz 2 über Verstöße und die Höhe des jeweiligen Abschlags nach Satz 1. Die Vertragsparteien nach § 18 Absatz 2 berücksichtigen den Abschlag nach Satz 1 bei der Vereinbarung nach § 11 des Krankenhausentgeltgesetzes und § 11 der Bundespflegesatzverordnung.</w:t>
      </w:r>
    </w:p>
    <w:p>
      <w:r>
        <w:t xml:space="preserve">(4) Die Vertragsparteien nach Absatz 2 Satz 1 haben auf der Grundlage eines Konzepts des Instituts für das Entgeltsystem im Krankenhaus die Pflegepersonalkosten für die unmittelbare Patientenversorgung auf bettenführenden Stationen und in Kreißsälen aus dem Vergütungssystem auszugliedern und eine neue Pflegepersonalkostenvergütung zu entwickeln; ab dem Jahr 2025 haben die Vertragsparteien nach Absatz 2 Satz 1 auf der Grundlage eines angepassten Konzepts des Instituts für das Entgeltsystem im Krankenhaus die Pflegepersonalkosten für die unmittelbare Patientenversorgung auf bettenführenden Stationen und in Kreißsälen nach den Vorgaben des Absatzes 4a aus dem Vergütungssystem auszugliedern und die Pflegepersonalkostenvergütung weiterzuentwickeln. Hierfür haben sie insbesondere erstmals bis zum 31. Januar 2019 eine eindeutige, bundeseinheitliche Definition der auszugliedernden Pflegepersonalkosten zu vereinbaren und dabei auch Regelungen für die Zuordnung von Kosten von Pflegepersonal festzulegen, das überwiegend in der unmittelbaren Patientenversorgung auf bettenführenden Stationen tätig ist. Die Krankenhäuser haben die Vorgaben zur Ausgliederung und zur bundeseinheitlichen Definition nach Satz 1 erster Halbsatz und Satz 2 für die Abgrenzung ihrer Kosten und Leistungen rückwirkend ab dem 1. Januar 2019 anzuwenden; für die Vereinbarungen ab dem Jahr 2025 haben die Krankenhäuser ab dem 1. Januar 2023 die Vorgaben zur Ausgliederung und zur bundeseinheitlichen Definition nach Absatz 4a für die Abgrenzung ihrer Kosten und Leistungen anzuwenden. Die Vertragsparteien nach Absatz 2 Satz 1 haben die Bewertungsrelationen für das DRG-Vergütungssystem erstmals für das Jahr 2020 um die Summe der Bewertungsrelationen der nach Satz 1 auszugliedernden Pflegepersonalkosten und die Zusatzentgelte um die pflegerelevanten Kosten zu vermindern sowie auf dieser Grundlage die Fallpauschalenvereinbarung bis zum 30. September 2019 abzuschließen. Sie haben die nach Satz 1 auszugliedernden Pflegepersonalkosten bis zum 30. September 2019 in einem Katalog mit bundeseinheitlichen Bewertungsrelationen je voll- oder teilstationärem Belegungstag auszuweisen und den Katalog jährlich weiterzuentwickeln; nach Absatz 2 Satz 1 zu berücksichtigende Leistungsverlagerungen zu und von anderen Versorgungsbereichen sind bei der Weiterentwicklung der bundeseinheitlichen Bewertungsrelationen in diesem Katalog zu berücksichtigen. Der Katalog ist erstmals für das Jahr 2020 von den Vertragsparteien nach § 18 Absatz 2 für die Abzahlung des Pflegebudgets nach § 6a des Krankenhausentgeltgesetzes anzuwenden. Für die Ausgliederung der Pflegepersonalkosten und die Entwicklung einer neuen Pflegepersonalkostenvergütung nach Satz 1 sowie für die Vereinbarung einer bundeseinheitlichen Definition nach Satz 2 oder Absatz 4a Satz 1 gelten die Regelungen nach Absatz 2 Satz 4 bis 7 zur Einbindung der Berufsorganisationen der Krankenpflegeberufe, zur Beschlussfassung sowie zu den Teilnahme- und Zugangsrechten des Bundesministeriums für Gesundheit entsprechend. Für die Ausweisung der auszugliedernden Pflegepersonalkosten in einem Katalog mit bundeseinheitlichen Bewertungsrelationen und die Weiterentwicklung des Katalogs nach Satz 5 gelten die Veröffentlichungspflichten nach Absatz 2 Satz 8 entsprechend. Die Vertragsparteien nach Absatz 2 Satz 1 berichten dem Bundesministerium für Gesundheit über die Auswirkungen, die die Einführung des Pflegebudgets nach § 6a des Krankenhausentgeltgesetzes auf die Entwicklung der Pflegepersonalstellen und -kosten in den Jahren 2020 bis 2024 hat. Sie haben hierzu zum 31. August 2022 einen Zwischenbericht und zum 31. August 2025 einen abschließenden Bericht vorzulegen.</w:t>
      </w:r>
    </w:p>
    <w:p>
      <w:r>
        <w:t xml:space="preserve">(4a) Für die Jahre ab 2025 haben die Vertragsparteien nach Absatz 2 Satz 1 erstmals bis zum 31. Dezember 2022, hinsichtlich der in den Nummern 4 und 5 genannten Berufsgruppen erstmals bis zum 9. Januar 2025, zu vereinbaren, dass in der eindeutigen bundeseinheitlichen Definition der auszugliedernden Pflegepersonalkosten nach Absatz 4 Satz 2 ausschließlich das Pflegepersonal und die Pflegepersonalkosten der folgenden Berufsgruppen zu berücksichtigen sind:</w:t>
      </w:r>
    </w:p>
    <w:p>
      <w:pPr>
        <w:ind w:left="420"/>
      </w:pPr>
      <w:r>
        <w:t xml:space="preserve">1. als Pflegefachkräfte Personen, die über die Erlaubnis zum Führen einer Berufsbezeichnung nach § 1 des Pflegeberufegesetzes oder § 58 Absatz 1 oder Absatz 2 des Pflegeberufegesetzes verfügen oder deren Erlaubnis zum Führen der Berufsbezeichnung nach dem Krankenpflegegesetz in der am 31. Dezember 2019 geltenden Fassung oder nach dem Altenpflegegesetz in der am 31. Dezember 2019 geltenden Fassung nach § 64 des Pflegeberufegesetzes fortgilt,</w:t>
      </w:r>
    </w:p>
    <w:p>
      <w:pPr>
        <w:ind w:left="420"/>
      </w:pPr>
      <w:r>
        <w:t xml:space="preserve">2. als Pflegehilfskräfte</w:t>
      </w:r>
    </w:p>
    <w:p>
      <w:pPr>
        <w:ind w:left="780"/>
      </w:pPr>
      <w:r>
        <w:t xml:space="preserve">a) Personen, die erfolgreich eine landesrechtlich geregelte Assistenz- oder Helferausbildung in der Pflege von mindestens einjähriger Dauer abgeschlossen haben, die die von der 89. Arbeits- und Sozialministerkonferenz 2012 und der 86. Gesundheitsministerkonferenz 2013 als Mindestanforderungen beschlossenen Eckpunkte für die in Länderzuständigkeit liegenden Ausbildungen zu Assistenz- und Helferberufen in der Pflege (BAnz AT 17.02.2016 B3) erfüllt,</w:t>
      </w:r>
    </w:p>
    <w:p>
      <w:pPr>
        <w:ind w:left="780"/>
      </w:pPr>
      <w:r>
        <w:t xml:space="preserve">b) (weggefallen)</w:t>
      </w:r>
    </w:p>
    <w:p>
      <w:pPr>
        <w:ind w:left="780"/>
      </w:pPr>
      <w:r>
        <w:t xml:space="preserve">c) Personen, denen auf der Grundlage des Krankenpflegegesetzes in der am 31. Dezember 2003 geltenden Fassung eine Erlaubnis als Krankenpflegehelferin oder Krankenpflegehelfer erteilt worden ist,</w:t>
      </w:r>
    </w:p>
    <w:p>
      <w:pPr>
        <w:ind w:left="780"/>
      </w:pPr>
      <w:r>
        <w:t xml:space="preserve">d) Medizinische Fachangestellte, die erfolgreich eine Ausbildung nach der Verordnung über die Berufsausbildung zum Medizinischen Fachangestellten/zur Medizinischen Fachangestellten abgeschlossen haben oder eine Qualifikation vorweisen, die dieser Ausbildung entspricht,</w:t>
      </w:r>
    </w:p>
    <w:p>
      <w:pPr>
        <w:ind w:left="780"/>
      </w:pPr>
      <w:r>
        <w:t xml:space="preserve">e) Anästhesietechnische Assistentinnen und Anästhesietechnische Assistenten, denen die Erlaubnis zum Führen der Berufsbezeichnung nach § 1 Absatz 1 des Anästhesietechnische- und Operationstechnische-Assistenten-Gesetzes erteilt worden ist,</w:t>
      </w:r>
    </w:p>
    <w:p>
      <w:pPr>
        <w:ind w:left="780"/>
      </w:pPr>
      <w:r>
        <w:t xml:space="preserve">f) Notfallsanitäterinnen und Notfallsanitäter, denen die Erlaubnis zum Führen einer Berufsbezeichnung nach § 1 Absatz 1 des Notfallsanitätergesetzes erteilt worden ist,</w:t>
      </w:r>
    </w:p>
    <w:p>
      <w:pPr>
        <w:ind w:left="420"/>
      </w:pPr>
      <w:r>
        <w:t xml:space="preserve">3. als Hebammen Personen mit einer Erlaubnis zum Führen der Berufsbezeichnung nach § 5 Absatz 1 des Hebammengesetzes, auch in Verbindung mit den §§ 73 und 74 Absatz 1 des Hebammengesetzes,</w:t>
      </w:r>
    </w:p>
    <w:p>
      <w:pPr>
        <w:ind w:left="420"/>
      </w:pPr>
      <w:r>
        <w:t xml:space="preserve">4. als Auszubildende in der Pflege Personen, die eine berufliche oder hochschulische Ausbildung in einem in Nummer 1 oder Nummer 2 Buchstabe a oder Buchstabe b genannten Beruf absolvieren, in dem Umfang, in dem die betreffenden Kosten der Ausbildungsvergütung nicht nach § 27 Absatz 2 des Pflegeberufegesetzes oder nach § 17a Absatz 1 Satz 3 Mehrkosten der Ausbildungsvergütungen sind, und</w:t>
      </w:r>
    </w:p>
    <w:p>
      <w:pPr>
        <w:ind w:left="420"/>
      </w:pPr>
      <w:r>
        <w:t xml:space="preserve">5. als Pflegekräfte im Anerkennungsverfahren Personen, die eine Anpassungsmaßnahme nach § 40 Absatz 3 Satz 2 oder § 41 Absatz 2 Satz 2 des Pflegeberufegesetzes absolvieren.</w:t>
      </w:r>
    </w:p>
    <w:p>
      <w:r>
        <w:t xml:space="preserve">In der Vereinbarung haben sie auch Regelungen für die Zuordnung von Kosten von Pflegepersonal festzulegen, das überwiegend in der unmittelbaren Patientenversorgung auf bettenführenden Stationen oder in Kreißsälen tätig ist.</w:t>
      </w:r>
    </w:p>
    <w:p>
      <w:r>
        <w:t xml:space="preserve">(4b) Das Institut für das Entgeltsystem im Krankenhaus hat für jedes Kalenderjahr, erstmals für das Kalenderjahr 2026, von den Kosten, die den bundeseinheitlichen Bewertungsrelationen nach Satz 3, Absatz 1 Satz 4 und Absatz 4 Satz 5 zugrunde gelegt werden, die variablen Sachkosten abzuziehen (verminderte Kosten) und einen Betrag aus dem Vergütungssystem auszugliedern, der einem Anteil von 60 Prozent an den verminderten Kosten entspricht. Die nach Absatz 4 Satz 1 aus dem Vergütungssystem auszugliedernden Pflegepersonalkosten sind in dem in Satz 1 genannten Anteil enthalten; ihre Vergütung bleibt unberührt. Bei der Ermittlung der Bewertungsrelationen für die Vergütung eines Vorhaltebudgets (Vorhaltebewertungsrelationen) werden die nach Absatz 4 Satz 1 aus dem Vergütungssystem auszugliedernden Pflegepersonalkosten dahingehend berücksichtigt, dass</w:t>
      </w:r>
    </w:p>
    <w:p>
      <w:pPr>
        <w:ind w:left="420"/>
      </w:pPr>
      <w:r>
        <w:t xml:space="preserve">1. sie in dem Fall, dass ihr Anteil an den verminderten Kosten weniger als 60 Prozent beträgt, von einem Betrag in Höhe von 60 Prozent der verminderten Kosten abzuziehen sind und der sich ergebende Betrag der jeweiligen Ermittlung zugrunde zu legen ist,</w:t>
      </w:r>
    </w:p>
    <w:p>
      <w:pPr>
        <w:ind w:left="420"/>
      </w:pPr>
      <w:r>
        <w:t xml:space="preserve">2. in dem Fall, dass ihr Anteil an den verminderten Kosten mindestens 60 Prozent beträgt, die jeweilige Vorhaltebewertungsrelation null beträgt.</w:t>
      </w:r>
    </w:p>
    <w:p>
      <w:r>
        <w:t xml:space="preserve">Nach Absatz 2 Satz 1 zu berücksichtigende Leistungsverlagerungen zu und von anderen Versorgungsbereichen sind bei der Ermittlung der Vorhaltebewertungsrelationen zu berücksichtigen. Die Vorhaltebewertungsrelationen für Fälle aus den Leistungsgruppen, die in der für das jeweilige Kalenderjahr geltenden Vereinbarung nach § 39 Absatz 2 Satz 2 oder Festlegung nach § 39 Absatz 2 Satz 4 einem der Bereiche Pädiatrie, Geburtshilfe, Stroke Unit, Spezielle Traumatologie und Intensivmedizin zugeordnet wurden, sind zum Zweck der Abrechnung um den nach § 39 Absatz 4 für das jeweilige Kalenderjahr berechneten Prozentsatz zu erhöhen und gesondert in dem Entgeltkatalog auszuweisen. Die Vertragsparteien nach Absatz 2 Satz 1 haben die Ausgliederung nach Satz 1 und die nach den Sätzen 3 und 4 zu ermittelnden Vorhaltebewertungsrelationen erstmals in der in Absatz 2 Satz 1 genannten Vereinbarung für das Kalenderjahr 2026 zu berücksichtigen und die Vorhaltebewertungsrelationen erstmals in dem Entgeltkatalog für das Kalenderjahr 2026 auszuweisen.</w:t>
      </w:r>
    </w:p>
    <w:p>
      <w:r>
        <w:t xml:space="preserve">(4c) Das Institut für das Entgeltsystem im Krankenhaus hat die Auswirkungen der Einführung der Vergütung eines Vorhaltebudgets nach § 6b des Krankenhausentgeltgesetzes in den Jahren 2028 bis 2031 insbesondere hinsichtlich der Veränderung der Versorgungsstrukturen und der Qualität der Versorgung zu analysieren und auf der Grundlage dieser Analyse Empfehlungen zur Weiterentwicklung der Vergütung eines Vorhaltebudgets zu erstellen. Es hat in der Analyse zu prüfen, ob die Höhe des nach Absatz 4b Satz 1 auszugliedernden Anteils sachgerecht ist, ob die variablen Sachkosten sowie die Kosten von Querschnittsaufgaben sachgerecht abgebildet sind, ob die Einführung von Kurzzeitfallpauschalen Auswirkungen auf die Vorhaltevergütung hat, ob durch die Ausgestaltung der Vorhaltevergütung unterjährige Leistungseinschränkungen eintreten und inwieweit die Vergütung eines Vorhaltebudgets an dem bevölkerungsbezogenen Bedarf und fallzahlunabhängig ausgerichtet werden kann. Die Ergebnisse seiner Analyse und seine Empfehlungen hat das Institut für das Entgeltsystem im Krankenhaus dem Bundesministerium für Gesundheit bis zum 31. Dezember 2030 in einem Zwischenbericht und bis zum 31. Dezember 2032 in einem abschließenden Bericht vorzulegen und es hat diese Berichte jeweils zeitnah barrierefrei auf seiner Internetseite zu veröffentlichen. Die Vertragsparteien nach Absatz 2 Satz 1 haben vor der Erstellung der in Satz 3 genannten Berichte Stellung zu nehmen. Die Kosten der Aufgaben des Instituts für das Entgeltsystem im Krankenhaus nach diesem Absatz werden mit dem DRG-Systemzuschlag nach Absatz 5 Satz 1 Nummer 1 finanziert.</w:t>
      </w:r>
    </w:p>
    <w:p>
      <w:r>
        <w:t xml:space="preserve">(5) Zur Finanzierung der ihnen übertragenen Aufgaben nach den Absätzen 1 bis 4b sowie § 10 Abs. 2 und § 17d vereinbaren die Vertragsparteien nach Absatz 2 Satz 1</w:t>
      </w:r>
    </w:p>
    <w:p>
      <w:pPr>
        <w:ind w:left="420"/>
      </w:pPr>
      <w:r>
        <w:t xml:space="preserve">1. einen Zuschlag für jeden abzurechnenden Krankenhausfall, mit dem die Entwicklung, Einführung und laufende Pflege des Vergütungssystems finanziert werden (DRG-Systemzuschlag); der Zuschlag dient der Finanzierung insbesondere der Entwicklung der DRG-Klassifikation und der Kodierregeln, der Ermittlung der Bewertungsrelationen, der Bewertung der Zu- und Abschläge, der Ermittlung der Richtwerte nach § 17a Abs. 4b, von pauschalierten Zahlungen für die Teilnahme von Krankenhäusern oder Ausbildungsstätten an der Kalkulation und der Vergabe von Aufträgen, auch soweit die Vertragsparteien die Aufgaben durch das Institut für das Entgeltsystem im Krankenhaus wahrnehmen lassen,</w:t>
      </w:r>
    </w:p>
    <w:p>
      <w:pPr>
        <w:ind w:left="420"/>
      </w:pPr>
      <w:r>
        <w:t xml:space="preserve">2. Maßnahmen, die sicherstellen, dass die durch den Systemzuschlag erhobenen Finanzierungsbeträge ausschließlich zur Umsetzung der in diesem Absatz genannten Aufgaben verwendet werden,</w:t>
      </w:r>
    </w:p>
    <w:p>
      <w:pPr>
        <w:ind w:left="420"/>
      </w:pPr>
      <w:r>
        <w:t xml:space="preserve">3. das Nähere zur Weiterleitung der entsprechenden Einnahmen der Krankenhäuser an die Vertragsparteien,</w:t>
      </w:r>
    </w:p>
    <w:p>
      <w:pPr>
        <w:ind w:left="420"/>
      </w:pPr>
      <w:r>
        <w:t xml:space="preserve">4. kommt eine Vereinbarung nicht zustande, entscheidet auf Antrag einer Vertragspartei die Schiedsstelle nach § 18a Abs. 6.</w:t>
      </w:r>
    </w:p>
    <w:p>
      <w:r>
        <w:t xml:space="preserve">Die Vertragsparteien vereinbaren pauschalierte Zahlungen für die Teilnahme von Krankenhäusern oder Ausbildungsstätten an der Kalkulation, die einen wesentlichen Teil der zusätzlich entstehenden Kosten umfassen sollen; sie sollen als fester Grundbetrag je Krankenhaus und ergänzend als Finanzierung in Abhängigkeit von Anzahl und Qualität der übermittelten Datensätze gezahlt werden. Über die Teilnahme des einzelnen Krankenhauses entscheiden prospektiv die Vertragsparteien nach Absatz 2 Satz 1 auf Grund der Qualität des Rechnungswesens oder der Notwendigkeit der zu erhebenden Daten; ein Anspruch auf Teilnahme besteht nicht. Für die Vereinbarungen gilt Absatz 2 Satz 6 entsprechend. Ein Einsatz der Finanzmittel zur Deckung allgemeiner Haushalte der Vertragsparteien oder zur Finanzierung herkömmlicher Verbandsaufgaben im Zusammenhang mit dem Vergütungssystem ist unzulässig. Der DRG-Systemzuschlag ist von den Krankenhäusern je voll- und teilstationärem Krankenhausfall dem selbstzahlenden Patienten oder dem jeweiligen Kostenträger zusätzlich zu den tagesgleichen Pflegesätzen oder einer Fallpauschale in Rechnung zu stellen; er ist an die Vertragsparteien oder eine von ihnen benannte Stelle abzuführen. Der Zuschlag unterliegt nicht der Begrenzung der Pflegesätze durch § 10 Absatz 4 des Krankenhausentgeltgesetzes oder § 10 Absatz 3 der Bundespflegesatzverordnung; er geht nicht in den Gesamtbetrag und die Erlösausgleiche nach dem Krankenhausentgeltgesetz oder der Bundespflegesatzverordnung ein.</w:t>
      </w:r>
    </w:p>
    <w:p>
      <w:r>
        <w:t xml:space="preserve">(6) (weggefallen)</w:t>
      </w:r>
    </w:p>
    <w:p>
      <w:r>
        <w:t xml:space="preserve">(7) Kommt eine in dieser Vorschrift genannte Vereinbarung nicht oder teilweise nicht zustande, entscheidet auf Antrag einer Vertragspartei die Schiedsstelle nach § 18a Absatz 6. Kommt die in Absatz 2a Satz 2 genannte Vereinbarung nicht fristgerecht zustande, entscheidet die Schiedsstelle nach § 18a Absatz 6 abweichend von Satz 1 ohne Antrag bis zum Ablauf des 21. Mai 2027.</w:t>
      </w:r>
    </w:p>
    <w:p>
      <w:r>
        <w:t xml:space="preserve">(7a) Das Bundesministerium für Gesundheit wird ermächtigt, durch Rechtsverordnung mit Zustimmung des Bundesrates Vorschriften über die Unterlagen, die von den Krankenhäusern für die Budgetverhandlungen vorzulegen sind, zu erlassen.</w:t>
      </w:r>
    </w:p>
    <w:p>
      <w:r>
        <w:t xml:space="preserve">(8) Die Vertragsparteien nach Absatz 2 führen eine Begleitforschung zu den Auswirkungen des neuen Vergütungssystems, insbesondere zur Veränderung der Versorgungsstrukturen und zur Qualität der Versorgung, durch; dabei sind auch die Auswirkungen auf die anderen Versorgungsbereiche sowie die Art und der Umfang von Leistungsverlagerungen zu untersuchen. Sie schreiben dazu Forschungsaufträge aus und beauftragen das Institut für das Entgeltsystem im Krankenhaus, insbesondere die Daten nach § 21 des Krankenhausentgeltgesetzes auszuwerten. Die Kosten dieser Begleitforschung werden mit dem DRG-Systemzuschlag nach Absatz 5 finanziert. Die Begleitforschung ist mit dem Bundesministerium für Gesundheit abzustimmen.</w:t>
      </w:r>
    </w:p>
    <w:p>
      <w:r>
        <w:t xml:space="preserve">(9) (weggefallen)</w:t>
      </w:r>
    </w:p>
    <w:p>
      <w:r>
        <w:t xml:space="preserve">(10) Über die nach Absatz 1 Satz 11 vorzunehmende vertiefte Prüfung von Kostenausreißern hinausgehend beauftragen die Vertragsparteien nach Absatz 2 bis zum 31. Dezember 2013 das Institut für das Entgeltsystem im Krankenhaus mit der Festlegung von Kriterien zur Ermittlung von Kostenausreißern und einer auf dieser Grundlage erfolgenden systematischen Prüfung, in welchem Umfang Krankenhäuser mit Kostenausreißern belastet sind. Das Institut für das Entgeltsystem im Krankenhaus entwickelt ein Regelwerk für Fallprüfungen bei Krankenhäusern, die an der DRG-Kalkulation teilnehmen. Zur sachgerechten Beurteilung der Kostenausreißer hat das Institut für das Entgeltsystem im Krankenhaus von den an der Kalkulation teilnehmenden Krankenhäusern über den Kalkulationsdatensatz hinausgehende detaillierte fallbezogene Kosten- und Leistungsdaten zu erheben. Das Institut für das Entgeltsystem im Krankenhaus veröffentlicht die Prüfergebnisse jährlich im Rahmen eines Extremkostenberichts, erstmals bis zum 31. Dezember 2014. In dem Bericht sind auch die Gründe von Kostenausreißerfällen und Belastungsunterschieden zwischen Krankenhäusern darzulegen. Auf der Grundlage des Berichts sind geeignete Regelungen für eine sachgerechte Vergütung von Kostenausreißern im Rahmen des Entgeltsystems zu entwickeln und durch die Vertragsparteien nach Absatz 2 zu vereinbaren.</w:t>
      </w:r>
    </w:p>
    <w:p>
      <w:r>
        <w:rPr>
          <w:color w:val="555555"/>
          <w:sz w:val="17"/>
        </w:rPr>
        <w:t xml:space="preserve">Zitiervorschlag: § 17b KHG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