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KHG — Verordnung zur Regelung der Pflegesätze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Vorschriften zu erlassen über</w:t>
      </w:r>
    </w:p>
    <w:p>
      <w:pPr>
        <w:ind w:left="420"/>
      </w:pPr>
      <w:r>
        <w:t xml:space="preserve">1. die Pflegesätze der Krankenhäuser,</w:t>
      </w:r>
    </w:p>
    <w:p>
      <w:pPr>
        <w:ind w:left="420"/>
      </w:pPr>
      <w:r>
        <w:t xml:space="preserve">2. die Abgrenzung der allgemeinen stationären und teilstationären Leistungen des Krankenhauses von den Leistungen bei vor- und nachstationärer Behandlung (§ 115a des Fünften Buches Sozialgesetzbuch), den ambulanten Leistungen einschließlich der Leistungen nach § 115b des Fünften Buches Sozialgesetzbuch, den Wahlleistungen und den belegärztlichen Leistungen,</w:t>
      </w:r>
    </w:p>
    <w:p>
      <w:pPr>
        <w:ind w:left="420"/>
      </w:pPr>
      <w:r>
        <w:t xml:space="preserve">3. die Nutzungsentgelte (Kostenerstattung und Vorteilsausgleich sowie diesen vergleichbare Abgaben) der zur gesonderten Berechnung ihrer Leistungen berechtigten Ärzte an das Krankenhaus, soweit diese Entgelte pflegesatzmindernd zu berücksichtigen sind,</w:t>
      </w:r>
    </w:p>
    <w:p>
      <w:pPr>
        <w:ind w:left="420"/>
      </w:pPr>
      <w:r>
        <w:t xml:space="preserve">4. die Berücksichtigung der Erlöse aus der Vergütung für vor- und nachstationäre Behandlung (§ 115a des Fünften Buches Sozialgesetzbuch), für ambulante Leistungen einschließlich der Leistungen nach § 115b des Fünften Buches Sozialgesetzbuch und für Wahlleistungen des Krankenhauses sowie die Berücksichtigung sonstiger Entgelte bei der Bemessung der Pflegesätze,</w:t>
      </w:r>
    </w:p>
    <w:p>
      <w:pPr>
        <w:ind w:left="420"/>
      </w:pPr>
      <w:r>
        <w:t xml:space="preserve">5. die nähere Abgrenzung der in § 17 Abs. 4 bezeichneten Kosten von den pflegesatzfähigen Kosten,</w:t>
      </w:r>
    </w:p>
    <w:p>
      <w:pPr>
        <w:ind w:left="420"/>
      </w:pPr>
      <w:r>
        <w:t xml:space="preserve">6. das Verfahren nach § 18,</w:t>
      </w:r>
    </w:p>
    <w:p>
      <w:pPr>
        <w:ind w:left="420"/>
      </w:pPr>
      <w:r>
        <w:t xml:space="preserve">7. die Rechnungs- und Buchführungspflichten der Krankenhäuser,</w:t>
      </w:r>
    </w:p>
    <w:p>
      <w:pPr>
        <w:ind w:left="420"/>
      </w:pPr>
      <w:r>
        <w:t xml:space="preserve">8. ein Klagerecht des Verbandes der privaten Krankenversicherung gegenüber unangemessen hohen Entgelten für nichtärztliche Wahlleistungen.</w:t>
      </w:r>
    </w:p>
    <w:p>
      <w:r>
        <w:t xml:space="preserve">Die Ermächtigung kann durch Rechtsverordnung auf die Landesregierungen übertragen werden; dabei kann bestimmt werden, daß die Landesregierungen die Ermächtigung durch Rechtsverordnung auf oberste Landesbehörden weiter übertragen können.</w:t>
      </w:r>
    </w:p>
    <w:p>
      <w:r>
        <w:rPr>
          <w:color w:val="555555"/>
          <w:sz w:val="17"/>
        </w:rPr>
        <w:t xml:space="preserve">Zitiervorschlag: § 16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