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KHG — Auswertung der Wirkungen der Förderung</w:t>
      </w:r>
    </w:p>
    <w:p>
      <w:r>
        <w:rPr>
          <w:color w:val="555555"/>
          <w:sz w:val="18"/>
        </w:rPr>
        <w:t xml:space="preserve">Krankenhausfinanzierungsgesetz</w:t>
      </w:r>
    </w:p>
    <w:p>
      <w:r>
        <w:rPr>
          <w:color w:val="555555"/>
          <w:sz w:val="18"/>
        </w:rPr>
        <w:t xml:space="preserve">Stand: 12.12.2024 (konsolidierte Textfassung, kein amtliches Inkrafttretensdatum)</w:t>
      </w:r>
    </w:p>
    <w:p>
      <w:r>
        <w:t xml:space="preserve">Das Bundesamt für Soziale Sicherung gibt in Abstimmung mit dem Bundesministerium für Gesundheit und dem Bundesministerium der Finanzen begleitende Auswertungen des durch die Förderung nach den §§ 12 bis 12b bewirkten Strukturwandels in Auftrag. Die hierfür erforderlichen nicht personenbezogenen Daten werden ihm von den antragstellenden Ländern auf Anforderung zur Weiterleitung an die mit der Auswertung beauftragte Stelle zur Verfügung gestellt. Zwischenberichte über die Auswertung sind dem Bundesministerium für Gesundheit und dem Bundesministerium der Finanzen jährlich, für die Förderung nach § 12a erstmals zum 31. Dezember 2020 und für die Förderung nach § 12b erstmals zum 31. Dezember 2027, vorzulegen. Die bis zum 31. Dezember 2020 entstehenden Aufwendungen für die Auswertung der Förderung nach § 12 werden aus dem Betrag nach § 12 Absatz 1 Satz 1 und 2 gedeckt. Die im Zeitraum vom 1. Januar 2021 bis zum 31. Dezember 2026 entstehenden Aufwendungen für die Auswertung nach § 12 und die Aufwendungen für die Auswertung nach § 12a werden aus dem Betrag nach § 12a Absatz 1 Satz 1 und 2 gedeckt. Die ab dem 1. Januar 2027 entstehenden Aufwendungen für die auf die Förderung nach den §§ 12a und 12b bezogenen Auswertungen werden aus dem Transformationsfonds nach § 12b gedeckt. Auf der Grundlage der Auswertung legt das Bundesministerium für Gesundheit dem Deutschen Bundestag einen Bericht über den durch die Förderung bewirkten Strukturwandel vor.</w:t>
      </w:r>
    </w:p>
    <w:p>
      <w:r>
        <w:rPr>
          <w:color w:val="555555"/>
          <w:sz w:val="17"/>
        </w:rPr>
        <w:t xml:space="preserve">Zitiervorschlag: § 14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