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KHG — Transformationsfonds, Verordnungsermächtigung</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Zur Förderung von Vorhaben der Länder zur Anpassung der Strukturen in der Krankenhausversorgung an die durch das Krankenhausversorgungsverbesserungsgesetz vom 5. Dezember 2024 (BGBl. 2024 I Nr. 400) bewirkten Rechtsänderungen wird beim Bundesamt für Soziale Sicherung in den Jahren 2026 bis 2035 aus Mitteln der Liquiditätsreserve des Gesundheitsfonds ein Transformationsfonds in Höhe von 29 Milliarden Euro errichtet. Zur Finanzierung des Transformationsfonds stellt der Bund der Liquiditätsreserve des Gesundheitsfonds in den Jahren 2026 bis 2029 jährlich einen Betrag von 3,5 Milliarden Euro und in den Jahren 2030 bis 2035 jährlich einen Betrag von 2,5 Milliarden Euro, im Jahr 2026 bis zum 27. April 2026 und in den Jahren 2027 bis 2035 jeweils bis zum 15. Januar zur Verfügung. Aus dem Transformationsfonds können an zugelassenen Krankenhäusern gefördert werden:</w:t>
      </w:r>
    </w:p>
    <w:p>
      <w:pPr>
        <w:ind w:left="420"/>
      </w:pPr>
      <w:r>
        <w:t xml:space="preserve">1. Vorhaben zur standortübergreifenden Konzentration akutstationärer Versorgungskapazitäten, einschließlich der erforderlichen Angleichung der digitalen Infrastruktur, insbesondere</w:t>
      </w:r>
    </w:p>
    <w:p>
      <w:pPr>
        <w:ind w:left="780"/>
      </w:pPr>
      <w:r>
        <w:t xml:space="preserve">a) zur Erfüllung von Qualitätskriterien nach § 135e Absatz 2 des Fünften Buches Sozialgesetzbuch oder</w:t>
      </w:r>
    </w:p>
    <w:p>
      <w:pPr>
        <w:ind w:left="780"/>
      </w:pPr>
      <w:r>
        <w:t xml:space="preserve">b) zur Erfüllung von Mindestvorhaltezahlen nach § 135f Absatz 1 Satz 1 des Fünften Buches Sozialgesetzbuch,</w:t>
      </w:r>
    </w:p>
    <w:p>
      <w:pPr>
        <w:ind w:left="420"/>
      </w:pPr>
      <w:r>
        <w:t xml:space="preserve">abweichend von § 5 Absatz 1 Nummer 1 auch, soweit Hochschulkliniken an diesen Vorhaben beteiligt sind,</w:t>
      </w:r>
    </w:p>
    <w:p>
      <w:pPr>
        <w:ind w:left="420"/>
      </w:pPr>
      <w:r>
        <w:t xml:space="preserve">2. Vorhaben zur Umstrukturierung eines Krankenhausstandortes, der nach § 6c Absatz 1 als sektorenübergreifende Versorgungseinrichtung bestimmt wurde,</w:t>
      </w:r>
    </w:p>
    <w:p>
      <w:pPr>
        <w:ind w:left="420"/>
      </w:pPr>
      <w:r>
        <w:t xml:space="preserve">3. Vorhaben zur Bildung telemedizinischer Netzwerkstrukturen nach bundeseinheitlichen Vorgaben, insbesondere zwischen Krankenhäusern, einschließlich der Schaffung der Voraussetzungen für die Durchführung robotergestützter Telechirurgie, abweichend von § 5 Absatz 1 Nummer 1 auch, soweit Hochschulkliniken an diesen Vorhaben beteiligt sind,</w:t>
      </w:r>
    </w:p>
    <w:p>
      <w:pPr>
        <w:ind w:left="420"/>
      </w:pPr>
      <w:r>
        <w:t xml:space="preserve">4. wettbewerbsrechtlich zulässige Vorhaben zur Bildung von Zentren zur Behandlung von seltenen, komplexen oder schwerwiegenden Erkrankungen, abweichend von § 5 Absatz 1 Nummer 1 auch, soweit Hochschulkliniken an diesen Vorhaben beteiligt sind,</w:t>
      </w:r>
    </w:p>
    <w:p>
      <w:pPr>
        <w:ind w:left="420"/>
      </w:pPr>
      <w:r>
        <w:t xml:space="preserve">5. wettbewerbsrechtlich zulässige Vorhaben zur Bildung von regional begrenzten Krankenhausverbünden zum Abbau von Doppelstrukturen, insbesondere durch Standortzusammenlegungen, abweichend von § 5 Absatz 1 Nummer 1 auch, soweit Hochschulkliniken an diesen Vorhaben beteiligt sind,</w:t>
      </w:r>
    </w:p>
    <w:p>
      <w:pPr>
        <w:ind w:left="420"/>
      </w:pPr>
      <w:r>
        <w:t xml:space="preserve">6. Vorhaben zur Bildung integrierter Notfallstrukturen, abweichend von § 5 Absatz 1 Nummer 1 auch, soweit Hochschulkliniken an diesen Vorhaben beteiligt sind,</w:t>
      </w:r>
    </w:p>
    <w:p>
      <w:pPr>
        <w:ind w:left="420"/>
      </w:pPr>
      <w:r>
        <w:t xml:space="preserve">7. Vorhaben zur Schließung eines Krankenhauses oder von Teilen eines Krankenhauses, insbesondere in Gebieten mit einer hohen Dichte an Krankenhäusern und Krankenhausbetten oder</w:t>
      </w:r>
    </w:p>
    <w:p>
      <w:pPr>
        <w:ind w:left="420"/>
      </w:pPr>
      <w:r>
        <w:t xml:space="preserve">8. Vorhaben zur Schaffung zusätzlicher Ausbildungskapazitäten für die in § 2 Nummer 1a genannten Berufe in den mit den Krankenhäusern notwendigerweise verbundenen Ausbildungsstätten, soweit die Schaffung zusätzlicher Ausbildungskapazitäten auf einem Vorhaben nach Nummer 1 oder 5 beruht.</w:t>
      </w:r>
    </w:p>
    <w:p>
      <w:r>
        <w:t xml:space="preserve">Fördermittel können auch zur Finanzierung der Zinsen, der Tilgung und der Verwaltungskosten von Darlehen gewährt werden, soweit diese zur Finanzierung von Vorhaben, die nach Satz 3 gefördert werden können, aufgenommen wurden. Vorhaben, die überwiegend dem Erhalt bestehender Strukturen dienen, sind nicht förderfähig.</w:t>
      </w:r>
    </w:p>
    <w:p>
      <w:r>
        <w:t xml:space="preserve">(2) Das Fördervolumen eines Kalenderjahres entspricht dem vom Bund nach Absatz 1 Satz 2 in diesem Kalenderjahr zur Verfügung gestellten Betrag, zuzüglich der nach § 221a Absatz 3 und 4 des Fünften Buches Sozialgesetzbuch zugeführten Mittel und abzüglich der in § 14 Satz 6 genannten Aufwendungen des Bundesamts für Soziale Sicherung für die Auswertung im jeweiligen Kalenderjahr. Für jedes der Kalenderjahre 2026 bis 2035 kann jedes Land die Zuteilung von Fördermitteln bis zu einer Höhe von 95 Prozent desjenigen Anteils an dem um den Betrag der nach Satz 4 aus dem jeweils vorhergehenden Kalenderjahr übertragenen Mittel verminderten Fördervolumen beantragen, der sich für das jeweilige Land aus dem Königsteiner Schlüssel für das Jahr 2019 ergibt, zuzüglich der nach Satz 4 für das jeweilige Land aus dem jeweils vorherigen Kalenderjahr übertragenen Mittel und der nach Absatz 3a Satz 6 zurückgezahlten Fördermittel. Für jedes der Kalenderjahre 2026 bis 2035 können mehrere Länder gemeinsam die Zuteilung von Fördermitteln für länderübergreifende Vorhaben bis zu einer Höhe von 5 Prozent des Fördervolumens nach Satz 1 zuzüglich der für länderübergreifende Vorhaben nach Satz 5 aus dem jeweils vorhergehenden Kalenderjahr übertragenen Mittel und der nach Absatz 3a Satz 6 und 7 zurückgezahlten Fördermittel beantragen. Für jedes Land und jedes der Kalenderjahre 2026 bis 2034 sind Mittel in der Höhe der Differenz zwischen dem Betrag, bis zu dessen Höhe das jeweilige Land nach Satz 2 die Zuteilung von Fördermitteln beantragen kann, und dem Betrag, in dessen Höhe dem jeweiligen Land im jeweiligen Kalenderjahr Fördermittel nach Absatz 3a Satz 1 zugeteilt werden, zur Zuteilung im jeweils folgenden Kalenderjahr zu übertragen. Für länderübergreifende Vorhaben sind für jedes der Kalenderjahre 2026 bis 2034 Mittel in der Höhe der Differenz zwischen dem Betrag, bis zu dessen Höhe nach Satz 3 Fördermittel für länderübergreifende Vorhaben beantragt werden können, und dem Betrag, in dessen Höhe im jeweiligen Kalenderjahr Fördermittel für länderübergreifende Vorhaben zugeteilt werden, zur Zuteilung im jeweils folgenden Kalenderjahr zu übertragen. Das Bundesamt für Soziale Sicherung veröffentlicht auf seiner Internetseite für jedes der Kalenderjahre 2026 bis 2035 die Höhe der Beträge, bis zu der einzelne Länder die Zuteilung von Fördermitteln beantragen können, sowie den Betrag, der für die Förderung länderübergreifender Vorhaben zur Verfügung steht.</w:t>
      </w:r>
    </w:p>
    <w:p>
      <w:r>
        <w:t xml:space="preserve">(3) Ein Land kann für jedes der Kalenderjahre 2026 bis 2035 die Zuteilung von Fördermitteln nach Absatz 2 Satz 2 beantragen, wenn</w:t>
      </w:r>
    </w:p>
    <w:p>
      <w:pPr>
        <w:ind w:left="420"/>
      </w:pPr>
      <w:r>
        <w:t xml:space="preserve">1. das jeweilige Land die Förderfähigkeit des zu fördernden Vorhabens und die für dieses Vorhaben förderfähigen Kosten nach Maßgabe der in Absatz 1 Satz 3 und 5 bestimmten förderrechtlichen Voraussetzungen geprüft und festgestellt hat,</w:t>
      </w:r>
    </w:p>
    <w:p>
      <w:pPr>
        <w:ind w:left="420"/>
      </w:pPr>
      <w:r>
        <w:t xml:space="preserve">2. die Umsetzung des zu fördernden Vorhabens am 1. Juli 2025 noch nicht begonnen hat,</w:t>
      </w:r>
    </w:p>
    <w:p>
      <w:pPr>
        <w:ind w:left="420"/>
      </w:pPr>
      <w:r>
        <w:t xml:space="preserve">3. das jeweilige Land oder das jeweilige Land gemeinsam mit dem Träger des Krankenhauses, auf das sich das zu fördernde Vorhaben bezieht, die förderfähigen Kosten des Vorhabens zu dem folgenden Anteil trägt und das jeweilige Land mindestens die Hälfte dieses Anteils aufbringt:</w:t>
      </w:r>
    </w:p>
    <w:p>
      <w:pPr>
        <w:ind w:left="780"/>
      </w:pPr>
      <w:r>
        <w:t xml:space="preserve">a) bei einer Antragstellung bis zum 31. Dezember 2029 auf Zuteilung von Fördermitteln bis zu der Höhe, die das jeweilige Land für die Kalenderjahre 2026 bis 2029 nach Absatz 2 Satz 2 beantragen kann, zu einem Anteil von mindestens 30 Prozent und</w:t>
      </w:r>
    </w:p>
    <w:p>
      <w:pPr>
        <w:ind w:left="780"/>
      </w:pPr>
      <w:r>
        <w:t xml:space="preserve">b) bei einer Antragstellung ab dem 1. Januar 2030 zu einem Anteil von mindestens 50 Prozent,</w:t>
      </w:r>
    </w:p>
    <w:p>
      <w:pPr>
        <w:ind w:left="420"/>
      </w:pPr>
      <w:r>
        <w:t xml:space="preserve">4. das jeweilige Land</w:t>
      </w:r>
    </w:p>
    <w:p>
      <w:pPr>
        <w:ind w:left="780"/>
      </w:pPr>
      <w:r>
        <w:t xml:space="preserve">a) sich verpflichtet, in jedem der Kalenderjahre vom Jahr der Antragstellung bis 2035 zusätzlich zu den nach Nummer 3 zu tragenden Anteilen Mittel für die Investitionskostenförderung der Krankenhäuser mindestens in der Höhe bereitzustellen, die der nach Satz 2 berechneten durchschnittlichen Höhe der in den Haushaltsplänen des jeweiligen Landes der Kalenderjahre 2021 bis 2023 hierfür ausgewiesenen Haushaltsmittel entspricht und</w:t>
      </w:r>
    </w:p>
    <w:p>
      <w:pPr>
        <w:ind w:left="780"/>
      </w:pPr>
      <w:r>
        <w:t xml:space="preserve">b) nachweist, dass es in jedem der Kalenderjahre von 2026 bis zum Jahr der Antragstellung zusätzlich zu den nach Nummer 3 zu tragenden Anteilen Mittel für die Investitionsförderung der Krankenhäuser mindestens in der Höhe bereitgestellt hat, die der nach Satz 2 berechneten durchschnittlichen Höhe der in den Haushaltsplänen des jeweiligen Landes der Kalenderjahre 2021 bis 2023 hierfür ausgewiesenen Haushaltsmittel entspricht,</w:t>
      </w:r>
    </w:p>
    <w:p>
      <w:pPr>
        <w:ind w:left="420"/>
      </w:pPr>
      <w:r>
        <w:t xml:space="preserve">5. die Voraussetzungen der Rechtsverordnung nach Absatz 5 erfüllt sind und</w:t>
      </w:r>
    </w:p>
    <w:p>
      <w:pPr>
        <w:ind w:left="420"/>
      </w:pPr>
      <w:r>
        <w:t xml:space="preserve">6. das jeweilige Land nachweist, dass für nach Absatz 1 Satz 3 zu fördernde Vorhaben, an denen Hochschulkliniken beteiligt sind, die zu beantragenden Fördermittel ausschließlich für krankenhausbezogene Strukturmaßnahmen eingesetzt werden und eine zweckwidrige Verwendung oder eine doppelte Finanzierung hochschulrechtlich geregelter Aufgaben ausgeschlossen ist; hierüber hat das Land dem Bundesamt für Soziale Sicherung bei der Antragstellung und bei Nachweis der zweckentsprechenden Verwendung der Fördermittel zu berichten.</w:t>
      </w:r>
    </w:p>
    <w:p>
      <w:r>
        <w:t xml:space="preserve">Für die Berechnungen der durchschnittlichen Höhe der Haushaltsmittel nach Satz 1 Nummer 4 sind die Beträge der in den Jahren 2021 bis 2023 jeweils ausgewiesenen Haushaltsmittel, abzüglich der als Sonderförderung ausgewiesenen Haushaltsmittel, zu addieren, ist die Summe durch drei zu dividieren und ist dieser Betrag entsprechend dem vom Statistischen Bundesamt für das Jahr 2024 nach § 10 Absatz 6 Satz 1 des Krankenhausentgeltgesetzes bekanntgegebenen Orientierungswert zu erhöhen. Beträge, mit denen sich die Länder am Gesamtvolumen des öffentlichen Finanzierungsanteils der förderfähigen Kosten der Investitionen finanzschwacher Gemeinden und Gemeindeverbände eines Landes nach § 6 Absatz 1 Satz 1 des Kommunalinvestitionsförderungsgesetzes beteiligen, dürfen weder auf den in Satz 1 Nummer 3 jeweiligen genannten Anteil noch auf die in Satz 1 Nummer 4 genannten Mittel in den Kalenderjahren 2026 bis 2035 angerechnet werden. Hat das jeweilige Land gegenüber dem Träger eines Krankenhauses, auf das sich das zu fördernde Vorhaben bezieht, auf eine verpflichtende Rückzahlung von Mitteln der Investitionsförderung verzichtet, gilt für diese Mittel Satz 3 entsprechend, sofern das Land nicht nachvollziehbar darlegt, dass der Verzicht erforderlich ist, damit ein Vorhaben nach Absatz 1 Satz 3 Nummer 1, 2, 5 oder 7 durchgeführt werden kann. Die Sätze 1 bis 4 gelten für die Förderung länderübergreifender Vorhaben nach Absatz 2 Satz 3 und 5 entsprechend.</w:t>
      </w:r>
    </w:p>
    <w:p>
      <w:r>
        <w:t xml:space="preserve">(3a) Das Bundesamt für Soziale Sicherung teilt jedem Land auf Antrag für jedes der Kalenderjahre 2026 bis 2035 Fördermittel zu den in Absatz 1 Satz 3 und 4 genannten Zwecken bis zur Höhe des Betrags zu, bis zu dem das jeweilige Land die Zuteilung von Fördermitteln nach Absatz 2 beantragen kann und nach Absatz 3 beantragt hat. Das Bundesamt für Soziale Sicherung teilt den Ländern die Fördermittel nach Satz 1 bis zum 31. Dezember 2035 zu. Mittel aus dem Transformationsfonds dürfen nicht nach Satz 1 zugeteilt werden, soweit der Träger des Krankenhauses, auf das sich das zu fördernde Vorhaben bezieht, gegenüber dem jeweiligen Land aufgrund des zu fördernden Vorhabens zur Rückzahlung von Mitteln für die Investitionsförderung verpflichtet ist. Die vom Bundesamt für Soziale Sicherung an die Länder ausgezahlten Fördermittel werden als Einnahmen in den Haushaltsplänen der Länder vereinnahmt und nach dem Haushaltsrecht der Länder bewirtschaftet. Die Länder überprüfen die zweckentsprechende Verwendung der Fördermittel und weisen diese gegenüber dem Bundesamt für Soziale Sicherung nach. Nicht zweckentsprechend verwendete oder überzahlte Fördermittel sind von dem jeweiligen Land unverzüglich an das Bundesamt für Soziale Sicherung zurückzuzahlen, wenn eine Aufrechnung mit Ansprüchen auf Auszahlung von Fördermitteln nicht möglich ist. Die Sätze 1 bis 6 gelten für die Förderung länderübergreifender Vorhaben nach Absatz 2 Satz 3 und 5 entsprechend.</w:t>
      </w:r>
    </w:p>
    <w:p>
      <w:r>
        <w:t xml:space="preserve">(4) Die für die Verwaltung des Transformationsfonds und die Durchführung der Förderung notwendigen Aufwendungen des Bundesamtes für Soziale Sicherung werden aus den nach § 12a Absatz 2 Satz 4 übertragenen Mitteln gedeckt. Das Bundesamt für Soziale Sicherung kann nähere Bestimmungen zur Durchführung des Förderverfahrens und zur Übermittlung der vorzulegenden Unterlagen in einem einheitlichen Format oder in einer maschinell auswertbaren Form treffen. Für die Rechnungslegung und die Bewirtschaftung der Fördermittel durch das Bundesamt für Soziale Sicherung gelten die für die Sozialversicherungsträger geltenden Vorschriften entsprechend, soweit die Verordnung zur Verwaltung des Transformationsfonds im Krankenhausbereich keine hiervon abweichenden Regelungen enthält. Das Bundesamt für Soziale Sicherung fordert die Fördermittel von dem jeweiligen Land zurück, soweit die in Absatz 1 Satz 3 und 5 und Absatz 3 Satz 1 bestimmten Voraussetzungen nicht erfüllt oder die Fördermittel nicht zweckentsprechend verwendet wurden. Das Bundesamt für Soziale Sicherung führt nach dem 31. Dezember 2035 Fördermittel unverzüglich an das Sondervermögen Infrastruktur und Klimaneutralität zurück, die</w:t>
      </w:r>
    </w:p>
    <w:p>
      <w:pPr>
        <w:ind w:left="420"/>
      </w:pPr>
      <w:r>
        <w:t xml:space="preserve">1. nicht durch das Bundesamt für Soziale Sicherung nach Absatz 3a Satz 1 zugeteilt wurden,</w:t>
      </w:r>
    </w:p>
    <w:p>
      <w:pPr>
        <w:ind w:left="420"/>
      </w:pPr>
      <w:r>
        <w:t xml:space="preserve">2. nicht für die in § 14 Satz 6 genannten Aufwendungen verwendet wurden und</w:t>
      </w:r>
    </w:p>
    <w:p>
      <w:pPr>
        <w:ind w:left="420"/>
      </w:pPr>
      <w:r>
        <w:t xml:space="preserve">3. nach dem 31. Dezember 2035 zu Gunsten des Transformationsfonds nach Absatz 3a Satz 6 zurückgezahlt werden.</w:t>
      </w:r>
    </w:p>
    <w:p>
      <w:r>
        <w:t xml:space="preserve">Die in Satz 1 genannten Mittel, die nicht bis zum 31. Dezember des jeweiligen Jahres zur Deckung der für die Verwaltung des Transformationsfonds und die Durchführung der Förderung notwendigen Aufwendungen des Bundesamtes für Soziale Sicherung verwendet wurden, verbleiben bei der Liquiditätsreserve des Gesundheitsfonds.</w:t>
      </w:r>
    </w:p>
    <w:p>
      <w:r>
        <w:t xml:space="preserve">(5) Das Bundesministerium für Gesundheit wird ermächtigt, durch Rechtsverordnung mit Zustimmung des Bundesrates das Nähere zu regeln</w:t>
      </w:r>
    </w:p>
    <w:p>
      <w:pPr>
        <w:ind w:left="420"/>
      </w:pPr>
      <w:r>
        <w:t xml:space="preserve">1. zu den Vorhaben, die nach Absatz 1 Satz 3 gefördert werden können,</w:t>
      </w:r>
    </w:p>
    <w:p>
      <w:pPr>
        <w:ind w:left="420"/>
      </w:pPr>
      <w:r>
        <w:t xml:space="preserve">2. zum Verfahren der Zuteilung der Fördermittel,</w:t>
      </w:r>
    </w:p>
    <w:p>
      <w:pPr>
        <w:ind w:left="420"/>
      </w:pPr>
      <w:r>
        <w:t xml:space="preserve">3. zur Höhe der förderfähigen Kosten, insbesondere zur Höhe der förderfähigen Kosten einzelner Bestandteile der jeweiligen Vorhaben,</w:t>
      </w:r>
    </w:p>
    <w:p>
      <w:pPr>
        <w:ind w:left="420"/>
      </w:pPr>
      <w:r>
        <w:t xml:space="preserve">4. zum Nachweis der in Absatz 3 Satz 1 und 2 genannten Voraussetzungen der Zuteilung von Fördermitteln,</w:t>
      </w:r>
    </w:p>
    <w:p>
      <w:pPr>
        <w:ind w:left="420"/>
      </w:pPr>
      <w:r>
        <w:t xml:space="preserve">5. zum Nachweis der zweckentsprechenden Verwendung der Fördermittel und</w:t>
      </w:r>
    </w:p>
    <w:p>
      <w:pPr>
        <w:ind w:left="420"/>
      </w:pPr>
      <w:r>
        <w:t xml:space="preserve">6. zur Rückzahlung überzahlter oder nicht zweckentsprechend verwendeter Fördermittel.</w:t>
      </w:r>
    </w:p>
    <w:p>
      <w:r>
        <w:rPr>
          <w:color w:val="555555"/>
          <w:sz w:val="17"/>
        </w:rPr>
        <w:t xml:space="preserve">Zitiervorschlag: § 12b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