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KHG — Grundsatz</w:t>
      </w:r>
    </w:p>
    <w:p>
      <w:r>
        <w:rPr>
          <w:color w:val="555555"/>
          <w:sz w:val="18"/>
        </w:rPr>
        <w:t xml:space="preserve">Krankenhausfinanzierungsgesetz</w:t>
      </w:r>
    </w:p>
    <w:p>
      <w:r>
        <w:rPr>
          <w:color w:val="555555"/>
          <w:sz w:val="18"/>
        </w:rPr>
        <w:t xml:space="preserve">Stand: 29.10.2020 (konsolidierte Textfassung, kein amtliches Inkrafttretensdatum)</w:t>
      </w:r>
    </w:p>
    <w:p>
      <w:r>
        <w:t xml:space="preserve">(1) Zweck dieses Gesetzes ist die wirtschaftliche Sicherung der Krankenhäuser, um eine qualitativ hochwertige, patienten- und bedarfsgerechte Versorgung der Bevölkerung mit leistungsfähigen digital ausgestatteten, qualitativ hochwertig und eigenverantwortlich wirtschaftenden Krankenhäusern zu gewährleisten und zu sozial tragbaren Pflegesätzen beizutragen.</w:t>
      </w:r>
    </w:p>
    <w:p>
      <w:r>
        <w:t xml:space="preserve">(2) Bei der Durchführung des Gesetzes ist die Vielfalt der Krankenhausträger zu beachten. Dabei ist nach Maßgabe des Landesrechts insbesondere die wirtschaftliche Sicherung freigemeinnütziger und privater Krankenhäuser zu gewährleisten. Die Gewährung von Fördermitteln nach diesem Gesetz darf nicht mit Auflagen verbunden werden, durch die die Selbständigkeit und Unabhängigkeit von Krankenhäusern über die Erfordernisse der Krankenhausplanung und der wirtschaftlichen Betriebsführung hinaus beeinträchtigt werden.</w:t>
      </w:r>
    </w:p>
    <w:p>
      <w:r>
        <w:rPr>
          <w:color w:val="555555"/>
          <w:sz w:val="17"/>
        </w:rPr>
        <w:t xml:space="preserve">Zitiervorschlag: § 1 KHG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