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Eingangsformel KHG§21Abs1aAnsprAnpV</w:t>
      </w:r>
    </w:p>
    <w:p>
      <w:r>
        <w:rPr>
          <w:color w:val="555555"/>
          <w:sz w:val="18"/>
        </w:rPr>
        <w:t xml:space="preserve">Verordnung zur Anpassung der Voraussetzungen für die Anspruchsberechtigung der Krankenhäuser nach § 21 Absatz 1a des Krankenhausfinanzierungsgesetzes</w:t>
      </w:r>
    </w:p>
    <w:p>
      <w:r>
        <w:rPr>
          <w:color w:val="555555"/>
          <w:sz w:val="18"/>
        </w:rPr>
        <w:t xml:space="preserve">Historische Fassung: Stand 29.12.2020 bis 10.04.2021. Dies ist nicht die aktuelle Fassung.</w:t>
      </w:r>
    </w:p>
    <w:p>
      <w:r>
        <w:t xml:space="preserve">Auf Grund des § 23 Absatz 2 Nummer 1 des Krankenhausfinanzierungsgesetzes, der durch Artikel 2a Nummer 3 Buchstabe b des Gesetzes vom 18. November 2020 (BGBl. I S. 2397) eingefügt worden ist, verordnet das Bundesministerium für Gesundheit im Einvernehmen mit dem Bundesministerium der Finanzen:</w:t>
      </w:r>
    </w:p>
    <w:p>
      <w:r>
        <w:rPr>
          <w:color w:val="555555"/>
          <w:sz w:val="17"/>
        </w:rPr>
        <w:t xml:space="preserve">Zitiervorschlag: Eingangsformel KHG§21Abs1aAnsprAnpV</w:t>
      </w:r>
    </w:p>
    <w:p>
      <w:r>
        <w:rPr>
          <w:color w:val="555555"/>
          <w:sz w:val="17"/>
        </w:rPr>
        <w:t xml:space="preserve">Quelle: Bundesamt für Justiz (Archivstand),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https://recht.nulegal.eu/gesetze/KHG%C2%A721Abs1aAnsprAnpV/eingangsformel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