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KHG§21Abs1aAnsprAnpV — Verlängerung von Fristen nach den §§ 21 und 22 des Krankenhausfinanzierungsgesetzes sowie nach § 111d des Fünften Buches Sozialgesetzbuch</w:t>
      </w:r>
    </w:p>
    <w:p>
      <w:r>
        <w:rPr>
          <w:color w:val="555555"/>
          <w:sz w:val="18"/>
        </w:rPr>
        <w:t xml:space="preserve">Verordnung zur Anpassung der Voraussetzungen für die Anspruchsberechtigung der Krankenhäuser nach § 21 Absatz 1a des Krankenhausfinanzierungsgesetzes</w:t>
      </w:r>
    </w:p>
    <w:p>
      <w:r>
        <w:rPr>
          <w:color w:val="555555"/>
          <w:sz w:val="18"/>
        </w:rPr>
        <w:t xml:space="preserve">Historische Fassung: Stand 27.02.2021 bis 10.04.2021. Dies ist nicht die aktuelle Fassung.</w:t>
      </w:r>
    </w:p>
    <w:p>
      <w:r>
        <w:t xml:space="preserve">(1) Die Frist nach § 21 Absatz 1a Satz 1 des Krankenhausfinanzierungsgesetzes wird bis zum 11. April 2021 verlängert.</w:t>
      </w:r>
    </w:p>
    <w:p>
      <w:r>
        <w:t xml:space="preserve">(2) Die Frist nach § 21 Absatz 2a Satz 4 des Krankenhausfinanzierungsgesetzes wird bis zum 11. April 2021 verlängert.</w:t>
      </w:r>
    </w:p>
    <w:p>
      <w:r>
        <w:t xml:space="preserve">(3) Abweichend von § 21 Absatz 9a Satz 3 des Krankenhausfinanzierungsgesetzes kann die krankenhausbezogene Aufstellung der für das Jahr 2021 nach § 21 Absatz 4a Satz 3 des Krankenhausfinanzierungsgesetzes ausgezahlten Finanzmittel bis zum 14. Mai 2021 übermittelt werden.</w:t>
      </w:r>
    </w:p>
    <w:p>
      <w:r>
        <w:t xml:space="preserve">(4) Der Zeitraum nach § 22 Absatz 1 Satz 2 des Krankenhausfinanzierungsgesetzes wird bis zum 11. April 2021 verlängert.</w:t>
      </w:r>
    </w:p>
    <w:p>
      <w:r>
        <w:t xml:space="preserve">(5) Die Frist nach § 111d Absatz 2 Satz 4 des Fünften Buches Sozialgesetzbuch wird bis zum 11. April 2021 verlängert.</w:t>
      </w:r>
    </w:p>
    <w:p>
      <w:r>
        <w:rPr>
          <w:color w:val="555555"/>
          <w:sz w:val="17"/>
        </w:rPr>
        <w:t xml:space="preserve">Zitiervorschlag: § 3 KHG§21Abs1aAnsprAnpV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https://recht.nulegal.eu/gesetze/KHG%C2%A721Abs1aAnsprAnpV/3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