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KHEntgG — Grundlagen</w:t>
      </w:r>
    </w:p>
    <w:p>
      <w:r>
        <w:rPr>
          <w:color w:val="555555"/>
          <w:sz w:val="18"/>
        </w:rPr>
        <w:t xml:space="preserve">Krankenhausentgeltgesetz</w:t>
      </w:r>
    </w:p>
    <w:p>
      <w:r>
        <w:rPr>
          <w:color w:val="555555"/>
          <w:sz w:val="18"/>
        </w:rPr>
        <w:t xml:space="preserve">Stand: 16.04.2026 (konsolidierte Textfassung, kein amtliches Inkrafttretensdatum)</w:t>
      </w:r>
    </w:p>
    <w:p>
      <w:r>
        <w:t xml:space="preserve">Die voll- und teilstationären Krankenhausleistungen werden vergütet durch</w:t>
      </w:r>
    </w:p>
    <w:p>
      <w:pPr>
        <w:ind w:left="420"/>
      </w:pPr>
      <w:r>
        <w:t xml:space="preserve">1. ein von den Vertragsparteien nach § 11 Absatz 1 gemeinsam vereinbartes Erlösbudget nach § 4,</w:t>
      </w:r>
    </w:p>
    <w:p>
      <w:pPr>
        <w:ind w:left="420"/>
      </w:pPr>
      <w:r>
        <w:t xml:space="preserve">1a. ein Erlösvolumen für die Versorgung von Kindern und Jugendlichen nach § 4a,</w:t>
      </w:r>
    </w:p>
    <w:p>
      <w:pPr>
        <w:ind w:left="420"/>
      </w:pPr>
      <w:r>
        <w:t xml:space="preserve">2. eine von den Vertragsparteien nach § 11 Absatz 1 gemeinsam vereinbarte Erlössumme nach § 6 Absatz 3 für krankenhausindividuell zu vereinbarende Entgelte,</w:t>
      </w:r>
    </w:p>
    <w:p>
      <w:pPr>
        <w:ind w:left="420"/>
      </w:pPr>
      <w:r>
        <w:t xml:space="preserve">3. Entgelte nach § 6 Absatz 2 für neue Untersuchungs- und Behandlungsmethoden,</w:t>
      </w:r>
    </w:p>
    <w:p>
      <w:pPr>
        <w:ind w:left="420"/>
      </w:pPr>
      <w:r>
        <w:t xml:space="preserve">3a. ein Pflegebudget nach § 6a,</w:t>
      </w:r>
    </w:p>
    <w:p>
      <w:pPr>
        <w:ind w:left="420"/>
      </w:pPr>
      <w:r>
        <w:t xml:space="preserve">3b. ein Vorhaltebudget nach § 6b ab dem Jahr 2028,</w:t>
      </w:r>
    </w:p>
    <w:p>
      <w:pPr>
        <w:ind w:left="420"/>
      </w:pPr>
      <w:r>
        <w:t xml:space="preserve">4. Zusatzentgelte für die Behandlung von Blutern,</w:t>
      </w:r>
    </w:p>
    <w:p>
      <w:pPr>
        <w:ind w:left="420"/>
      </w:pPr>
      <w:r>
        <w:t xml:space="preserve">5. Zu- und Abschläge nach § 7 Absatz 1 und</w:t>
      </w:r>
    </w:p>
    <w:p>
      <w:pPr>
        <w:ind w:left="420"/>
      </w:pPr>
      <w:r>
        <w:t xml:space="preserve">6. ein Gesamtvolumen nach § 6c Absatz 1 Satz 1.</w:t>
      </w:r>
    </w:p>
    <w:p>
      <w:r>
        <w:rPr>
          <w:color w:val="555555"/>
          <w:sz w:val="17"/>
        </w:rPr>
        <w:t xml:space="preserve">Zitiervorschlag: § 3 KHEntgG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https://recht.nulegal.eu/gesetze/KHEntgG/3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