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KHEntgG — Genehmigung</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Die Genehmigung des vereinbarten oder von der Schiedsstelle nach § 13 festgesetzten landesweit geltenden Basisfallwerts nach § 10, des Erlösbudgets nach § 4, der Entgelte nach § 6, des Pflegebudgets nach § 6a, der krankenhausindividuell ermittelten Zu- und Abschläge und des nach § 6c Absatz 1 Satz 1 vereinbarten Gesamtvolumens und der nach § 6c Absatz 1 Satz 2 Nummer 2 bis 4 vereinbarten krankenhausindividuellen Tagesentgelte ist von einer der Vertragsparteien bei der zuständigen Landesbehörde zu beantragen. Die zuständige Landesbehörde erteilt die Genehmigung, wenn die Vereinbarung oder Festsetzung den Vorschriften dieses Gesetzes sowie sonstigem Recht entspricht. Sie entscheidet über die folgenden Genehmigungen innerhalb der folgenden Fristen:</w:t>
      </w:r>
    </w:p>
    <w:p>
      <w:pPr>
        <w:ind w:left="420"/>
      </w:pPr>
      <w:r>
        <w:t xml:space="preserve">1. über die Genehmigung des landesweit geltenden Basisfallwerts innerhalb von vier Wochen nach Eingang des Antrags und</w:t>
      </w:r>
    </w:p>
    <w:p>
      <w:pPr>
        <w:ind w:left="420"/>
      </w:pPr>
      <w:r>
        <w:t xml:space="preserve">2. über die Genehmigung des Erlösbudgets nach § 4, der Entgelte nach § 6, des Pflegebudgets nach § 6a oder der krankenhausindividuell ermittelten Zu- und Abschläge innerhalb von acht Wochen nach Eingang des jeweiligen Antrags.</w:t>
      </w:r>
    </w:p>
    <w:p>
      <w:r>
        <w:t xml:space="preserve">Sofern die zuständige Landesbehörde über eine in Satz 3 Nummer 2 genannte Genehmigung nicht innerhalb von acht Wochen nach Eingang des jeweiligen Antrags entscheidet, gilt die jeweilige Genehmigung als erteilt, soweit landesrechtlich nichts Abweichendes bestimmt ist.</w:t>
      </w:r>
    </w:p>
    <w:p>
      <w:r>
        <w:t xml:space="preserve">(1a) Bei der zuständigen Landesbehörde ist zu beantragen</w:t>
      </w:r>
    </w:p>
    <w:p>
      <w:pPr>
        <w:ind w:left="420"/>
      </w:pPr>
      <w:r>
        <w:t xml:space="preserve">1. die Genehmigung des Ausgleichsbetrags nach § 6b Absatz 5 Satz 1 vom Krankenhausträger sowie</w:t>
      </w:r>
    </w:p>
    <w:p>
      <w:pPr>
        <w:ind w:left="420"/>
      </w:pPr>
      <w:r>
        <w:t xml:space="preserve">2. die Genehmigung des Konvergenzbetrags nach § 6b Absatz 6 Satz 1 von einer der Vertragsparteien.</w:t>
      </w:r>
    </w:p>
    <w:p>
      <w:r>
        <w:t xml:space="preserve">Die zuständige Landesbehörde erteilt die Genehmigung, wenn die Vereinbarung oder Festsetzung den Vorschriften dieses Gesetzes sowie sonstigem Recht entspricht. Die zuständige Landesbehörde entscheidet jeweils innerhalb von 14 Tagen nach Eingang über die in Satz 1 genannten Anträge.</w:t>
      </w:r>
    </w:p>
    <w:p>
      <w:r>
        <w:t xml:space="preserve">(1b) Die zuständige Landesbehörde informiert den Verband der Privaten Krankenversicherung über ihre Entscheidung über die in den Absätzen 1 und 1a genannte Genehmigung.</w:t>
      </w:r>
    </w:p>
    <w:p>
      <w:r>
        <w:t xml:space="preserve">(2) Die Vertragsparteien und die Schiedsstellen haben der zuständigen Landesbehörde die Unterlagen vorzulegen und die Auskünfte zu erteilen, die für die Prüfung der Rechtmäßigkeit erforderlich sind. Im Übrigen sind die für die Vertragsparteien bezüglich der Vereinbarung geltenden Rechtsvorschriften entsprechend anzuwenden. Die Genehmigung kann mit Nebenbestimmungen verbunden werden, soweit dies erforderlich ist, um rechtliche Hindernisse zu beseitigen, die einer uneingeschränkten Genehmigung entgegenstehen.</w:t>
      </w:r>
    </w:p>
    <w:p>
      <w:r>
        <w:t xml:space="preserve">(3) Wird die Genehmigung eines Schiedsspruches versagt, ist die Schiedsstelle auf Antrag verpflichtet, unter Beachtung der Rechtsauffassung der Genehmigungsbehörde erneut zu entscheiden.</w:t>
      </w:r>
    </w:p>
    <w:p>
      <w:r>
        <w:t xml:space="preserve">(4) Im Hinblick auf die Genehmigung des landesweit geltenden Basisfallwerts ist der Verwaltungsrechtsweg nur für die Vertragsparteien auf Landesebene gegeben. Ein Vorverfahren findet nicht statt; die Klage hat keine aufschiebende Wirkung.</w:t>
      </w:r>
    </w:p>
    <w:p>
      <w:r>
        <w:rPr>
          <w:color w:val="555555"/>
          <w:sz w:val="17"/>
        </w:rPr>
        <w:t xml:space="preserve">Zitiervorschlag: § 14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