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KHEntgG — Anwendungsbereich</w:t>
      </w:r>
    </w:p>
    <w:p>
      <w:r>
        <w:rPr>
          <w:color w:val="555555"/>
          <w:sz w:val="18"/>
        </w:rPr>
        <w:t xml:space="preserve">Krankenhausentgeltgesetz</w:t>
      </w:r>
    </w:p>
    <w:p>
      <w:r>
        <w:rPr>
          <w:color w:val="555555"/>
          <w:sz w:val="18"/>
        </w:rPr>
        <w:t xml:space="preserve">Stand: 16.04.2026 (konsolidierte Textfassung, kein amtliches Inkrafttretensdatum)</w:t>
      </w:r>
    </w:p>
    <w:p>
      <w:r>
        <w:t xml:space="preserve">(1) Die vollstationären und teilstationären Leistungen der DRG-Krankenhäuser werden nach diesem Gesetz und dem Krankenhausfinanzierungsgesetz vergütet.</w:t>
      </w:r>
    </w:p>
    <w:p>
      <w:r>
        <w:t xml:space="preserve">(2) Dieses Gesetz gilt auch für die Vergütung von Leistungen der Bundeswehrkrankenhäuser, soweit diese Zivilpatienten behandeln, und der Krankenhäuser der Träger der gesetzlichen Unfallversicherung, soweit nicht die gesetzliche Unfallversicherung die Kosten trägt. Im Übrigen gilt dieses Gesetz nicht für</w:t>
      </w:r>
    </w:p>
    <w:p>
      <w:pPr>
        <w:ind w:left="420"/>
      </w:pPr>
      <w:r>
        <w:t xml:space="preserve">1. Krankenhäuser, auf die das Krankenhausfinanzierungsgesetz nach seinem § 3 Satz 1 keine Anwendung findet,</w:t>
      </w:r>
    </w:p>
    <w:p>
      <w:pPr>
        <w:ind w:left="420"/>
      </w:pPr>
      <w:r>
        <w:t xml:space="preserve">2. Krankenhäuser, die nach § 5 Abs. 1 Nr. 2, 4 oder 7 des Krankenhausfinanzierungsgesetzes nicht gefördert werden,</w:t>
      </w:r>
    </w:p>
    <w:p>
      <w:pPr>
        <w:ind w:left="420"/>
      </w:pPr>
      <w:r>
        <w:t xml:space="preserve">3. Krankenhäuser und selbständige, gebietsärztlich geleitete Abteilungen für die Fachgebiete Psychiatrie und Psychotherapie, Kinder- und Jugendpsychiatrie und -psychotherapie sowie Psychosomatische Medizin und Psychotherapie, soweit im Krankenhausfinanzierungsgesetz oder in der Bundespflegesatzverordnung nichts Abweichendes bestimmt wird.</w:t>
      </w:r>
    </w:p>
    <w:p>
      <w:pPr>
        <w:ind w:left="420"/>
      </w:pPr>
      <w:r>
        <w:t xml:space="preserve">4. (weggefallen)</w:t>
      </w:r>
    </w:p>
    <w:p>
      <w:r>
        <w:t xml:space="preserve">(3) Die vor- und nachstationäre Behandlung wird für alle Benutzer einheitlich nach § 115a des Fünften Buches Sozialgesetzbuch vergütet. Die ambulante Durchführung von Operationen und sonstiger stationsersetzender Eingriffe wird für die gesetzlich versicherten Patienten nach § 115b des Fünften Buches Sozialgesetzbuch und für sonstige Patienten nach den für sie geltenden Vorschriften, Vereinbarungen oder Tarifen vergütet. Die nach § 115f Absatz 1 Satz 1 Nummer 2 des Fünften Buches Sozialgesetzbuch vereinbarten oder nach § 115f Absatz 4 Satz 2 oder Satz 5 des Fünften Buches Sozialgesetzbuch bestimmten Leistungen werden für alle Benutzer und Benutzerinnen des Krankenhauses einheitlich nach § 115f des Fünften Buches Sozialgesetzbuch vergütet.</w:t>
      </w:r>
    </w:p>
    <w:p>
      <w:r>
        <w:t xml:space="preserve">(4) Für Krankenhäuser in einem Land, in dem bis zum 31. Dezember 2024 Leistungsgruppen nach landesrechtlichen Vorschriften zugewiesen wurden, gelten die Regelungen dieses Gesetzes mit folgenden Maßgaben:</w:t>
      </w:r>
    </w:p>
    <w:p>
      <w:pPr>
        <w:ind w:left="420"/>
      </w:pPr>
      <w:r>
        <w:t xml:space="preserve">1. bis zum Ablauf des 31. Dezember 2030 findet keine Anwendung:</w:t>
      </w:r>
    </w:p>
    <w:p>
      <w:pPr>
        <w:ind w:left="780"/>
      </w:pPr>
      <w:r>
        <w:t xml:space="preserve">a) § 3 Nummer 3b,</w:t>
      </w:r>
    </w:p>
    <w:p>
      <w:pPr>
        <w:ind w:left="780"/>
      </w:pPr>
      <w:r>
        <w:t xml:space="preserve">b) § 6b,</w:t>
      </w:r>
    </w:p>
    <w:p>
      <w:pPr>
        <w:ind w:left="780"/>
      </w:pPr>
      <w:r>
        <w:t xml:space="preserve">c) § 7 Absatz 1 Satz 1 Nummer 6b und</w:t>
      </w:r>
    </w:p>
    <w:p>
      <w:pPr>
        <w:ind w:left="780"/>
      </w:pPr>
      <w:r>
        <w:t xml:space="preserve">d) § 8 Absatz 4 Satz 4,</w:t>
      </w:r>
    </w:p>
    <w:p>
      <w:pPr>
        <w:ind w:left="420"/>
      </w:pPr>
      <w:r>
        <w:t xml:space="preserve">2. abweichend von § 4 Absatz 1 Satz 1 umfasst das von den Vertragsparteien nach § 11 Absatz 1 zu vereinbarende Erlösbudget für voll- und teilstationäre Leistungen die Fallpauschalen nach § 7 Absatz 1 Satz 1 Nummer 1, in den Jahren 2026 bis 2030 einschließlich der sich aus dem bundeseinheitlichen Entgeltkatalog ergebenden Vorhaltebewertungsrelationen, und die Zusatzentgelte nach § 7 Absatz 1 Satz 1 Nummer 2,</w:t>
      </w:r>
    </w:p>
    <w:p>
      <w:pPr>
        <w:ind w:left="420"/>
      </w:pPr>
      <w:r>
        <w:t xml:space="preserve">3. abweichend von § 4 Absatz 2a Satz 1 ist letztmalig für das Jahr 2030 ein Fixkostendegressionsabschlag anzuwenden,</w:t>
      </w:r>
    </w:p>
    <w:p>
      <w:pPr>
        <w:ind w:left="420"/>
      </w:pPr>
      <w:r>
        <w:t xml:space="preserve">4. abweichend von § 4 Absatz 3 Satz 3 werden Mindererlöse ab dem Jahr 2031 nicht ausgeglichen,</w:t>
      </w:r>
    </w:p>
    <w:p>
      <w:pPr>
        <w:ind w:left="420"/>
      </w:pPr>
      <w:r>
        <w:t xml:space="preserve">5. abweichend von § 4 Absatz 3 Satz 6 ist die Vereinbarung eines Ausgleichs für Mindererlöse auch bei Vorliegen der in § 4 Absatz 3 Satz 5 genannten Voraussetzungen ab dem Jahr 2031 ausgeschlossen,</w:t>
      </w:r>
    </w:p>
    <w:p>
      <w:pPr>
        <w:ind w:left="420"/>
      </w:pPr>
      <w:r>
        <w:t xml:space="preserve">6. abweichend von § 7 Absatz 2 Satz 3 umfasst die effektive Bewertungsrelation auch in den Jahren 2028 bis 2030 auch die sich aus dem bundeseinheitlichen Entgeltkatalog ergebende Vorhaltebewertungsrelation,</w:t>
      </w:r>
    </w:p>
    <w:p>
      <w:pPr>
        <w:ind w:left="420"/>
      </w:pPr>
      <w:r>
        <w:t xml:space="preserve">7. abweichend von § 21 Absatz 2 Nummer 1 Buchstabe d zweiter Halbsatz haben Krankenhäuser in den Jahren 2029 bis 2031 zusätzlich zu der Summe der abgerechneten Vorhaltebewertungsrelationen auch die Summe der vereinbarten Vorhaltebewertungsrelationen jeweils für das vorangegangene Kalenderjahr zu übermitteln,</w:t>
      </w:r>
    </w:p>
    <w:p>
      <w:pPr>
        <w:ind w:left="420"/>
      </w:pPr>
      <w:r>
        <w:t xml:space="preserve">8. zusätzlich zu den in § 7 Absatz 1 Satz 1 genannten Entgelten ist für diejenigen Krankenhausstandorte, auf die ein Betrag nach § 39 Absatz 1 des Krankenhausfinanzierungsgesetzes aufgeteilt wurde, für die Fälle, in denen Leistungen aus einer Leistungsgruppe erbracht wurden, die dem für diese Aufteilung maßgeblichen Bereich nach § 39 Absatz 2 des Krankenhausfinanzierungsgesetzes zugeordnet wurden, die Differenz zwischen der in § 17b Absatz 4b Satz 5 des Krankenhausfinanzierungsgesetzes genannten erhöhten Vorhaltebewertungsrelation und der nicht erhöhten Vorhaltebewertungsrelation multipliziert mit dem für das jeweilige Kalenderjahr vereinbarten oder festgesetzten Landesbasisfallwert abzurechnen und gesondert in der Rechnung auszuweisen und</w:t>
      </w:r>
    </w:p>
    <w:p>
      <w:pPr>
        <w:ind w:left="420"/>
      </w:pPr>
      <w:r>
        <w:t xml:space="preserve">9. zusätzlich zu den Mehr- oder Mindererlösausgleichen nach § 4 Absatz 3 ist, sofern die Summe aller auf das Kalenderjahr entfallenden in Nummer 8 genannten Erlöse des Krankenhauses für seine Krankenhausstandorte von der nach § 37 Absatz 5 Satz 1 des Krankenhausfinanzierungsgesetzes festgestellten Höhe des für den jeweiligen Krankenhausstandort für die Leistungsgruppe nach § 39 Absatz 3 Satz 5 des Krankenhausfinanzierungsgesetzes aufgeteilten Betrags abweicht, die Differenz vollständig auszugleichen; zur Ermittlung des Ausgleichsbetrags für ein Kalenderjahr hat der jeweilige Krankenhausträger den anderen Vertragsparteien nach § 18 Absatz 2 des Krankenhausfinanzierungsgesetzes eine von einem Jahresabschlussprüfer bestätigte Aufstellung der Summe aller auf das Kalenderjahr entfallenden in Nummer 8 genannten Erlöse des Krankenhauses für seine Krankenhausstandorte vorzulegen; die Summe kann in der in § 4 Absatz 3 Satz 8 genannten Aufstellung ausgewiesen werden; der nach diesen Vorgaben ermittelte Ausgleichsbetrag wird im Rahmen des Zu- oder Abschlags nach § 5 Absatz 4 abgerechnet; steht bei der Budgetverhandlung der Ausgleichsbetrag noch nicht fest, sind Teilbeträge als Abschlagszahlung auf den Ausgleich zu berücksichtigen.</w:t>
      </w:r>
    </w:p>
    <w:p>
      <w:r>
        <w:rPr>
          <w:color w:val="555555"/>
          <w:sz w:val="17"/>
        </w:rPr>
        <w:t xml:space="preserve">Zitiervorschlag: § 1 KHEntgG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