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KHBV — Kosten- und Leistungsrechnung</w:t>
      </w:r>
    </w:p>
    <w:p>
      <w:r>
        <w:rPr>
          <w:color w:val="555555"/>
          <w:sz w:val="18"/>
        </w:rPr>
        <w:t xml:space="preserve">Krankenhaus-Buchführungsverordnung</w:t>
      </w:r>
    </w:p>
    <w:p>
      <w:r>
        <w:rPr>
          <w:color w:val="555555"/>
          <w:sz w:val="18"/>
        </w:rPr>
        <w:t xml:space="preserve">Stand: 10.06.2019 (konsolidierte Textfassung, kein amtliches Inkrafttretensdatum)</w:t>
      </w:r>
    </w:p>
    <w:p>
      <w:r>
        <w:t xml:space="preserve">Das Krankenhaus hat eine Kosten- und Leistungsrechnung zu führen, die eine betriebsinterne Steuerung sowie eine Beurteilung der Wirtschaftlichkeit und Leistungsfähigkeit erlaubt; sie muß die Ermittlung der pflegesatzfähigen Kosten sowie bis zum Jahr 2016 die Erstellung der Leistungs- und Kalkulationsaufstellung nach den Vorschriften der Bundespflegesatzverordnung in der am 31. Dezember 2012 geltenden Fassung ermöglichen. Dazu gehören folgende Mindestanforderungen:</w:t>
      </w:r>
    </w:p>
    <w:p>
      <w:pPr>
        <w:ind w:left="420"/>
      </w:pPr>
      <w:r>
        <w:t xml:space="preserve">1. Das Krankenhaus hat die auf Grund seiner Aufgaben und Struktur erforderlichen Kostenstellen zu bilden. Es sollen, sofern hierfür Kosten und Leistungen anfallen, mindestens die Kostenstellen gebildet werden, die sich aus dem Kostenstellenrahmen der Anlage 5 ergeben. Bei abweichender Gliederung dieser Kostenstellen soll durch ein ordnungsmäßiges Überleitungsverfahren die Umschlüsselung auf den Kostenstellenrahmen sichergestellt werden.</w:t>
      </w:r>
    </w:p>
    <w:p>
      <w:pPr>
        <w:ind w:left="420"/>
      </w:pPr>
      <w:r>
        <w:t xml:space="preserve">2. Die Kosten sind aus der Buchführung nachprüfbar herzuleiten.</w:t>
      </w:r>
    </w:p>
    <w:p>
      <w:pPr>
        <w:ind w:left="420"/>
      </w:pPr>
      <w:r>
        <w:t xml:space="preserve">3. Die Kosten und Leistungen sind verursachungsgerecht nach Kostenstellen zu erfassen; sie sind darüber hinaus den anfordernden Kostenstellen zuzuordnen, soweit dies für die in Satz 1 genannten Zwecke erforderlich ist.</w:t>
      </w:r>
    </w:p>
    <w:p>
      <w:r>
        <w:rPr>
          <w:color w:val="555555"/>
          <w:sz w:val="17"/>
        </w:rPr>
        <w:t xml:space="preserve">Zitiervorschlag: § 8 KHBV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