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KHBV — (Inkrafttreten)</w:t>
      </w:r>
    </w:p>
    <w:p>
      <w:r>
        <w:rPr>
          <w:color w:val="555555"/>
          <w:sz w:val="18"/>
        </w:rPr>
        <w:t xml:space="preserve">Krankenhaus-Buchführungsverordnung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13 KHBV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https://recht.nulegal.eu/gesetze/KHBV/13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