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KHBV — Ordnungswidrigkeiten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Ordnungswidrig im Sinne des § 334 Absatz 1 Satz 1 Nummer 6 des Handelsgesetzbuchs handelt, wer als Mitglied des vertretungsberechtigten Organs oder des Aufsichtsrats eines Krankenhauses, das Kapitalgesellschaft ist, bei der Aufstellung oder Feststellung eines Jahresabschlusses</w:t>
      </w:r>
    </w:p>
    <w:p>
      <w:pPr>
        <w:ind w:left="420"/>
      </w:pPr>
      <w:r>
        <w:t xml:space="preserve">1. entgegen § 1 Abs. 3 Satz 2</w:t>
      </w:r>
    </w:p>
    <w:p>
      <w:pPr>
        <w:ind w:left="780"/>
      </w:pPr>
      <w:r>
        <w:t xml:space="preserve">a) die Bilanz nicht nach Anlage 1,</w:t>
      </w:r>
    </w:p>
    <w:p>
      <w:pPr>
        <w:ind w:left="780"/>
      </w:pPr>
      <w:r>
        <w:t xml:space="preserve">b) die Gewinn- und Verlustrechnung nicht nach Anlage 2 oder</w:t>
      </w:r>
    </w:p>
    <w:p>
      <w:pPr>
        <w:ind w:left="780"/>
      </w:pPr>
      <w:r>
        <w:t xml:space="preserve">c) den Anlagennachweis nicht nach Anlage 3</w:t>
      </w:r>
    </w:p>
    <w:p>
      <w:pPr>
        <w:ind w:left="420"/>
      </w:pPr>
      <w:r>
        <w:t xml:space="preserve">gliedert oder</w:t>
      </w:r>
    </w:p>
    <w:p>
      <w:pPr>
        <w:ind w:left="420"/>
      </w:pPr>
      <w:r>
        <w:t xml:space="preserve">2. entgegen § 1 Abs. 3 Satz 4 die dort bezeichneten zusätzlichen Angaben im Anlagennachweis nicht, nicht in der vorgeschriebenen Form oder nicht mit dem vorgeschriebenen Inhalt macht.</w:t>
      </w:r>
    </w:p>
    <w:p>
      <w:r>
        <w:rPr>
          <w:color w:val="555555"/>
          <w:sz w:val="17"/>
        </w:rPr>
        <w:t xml:space="preserve">Zitiervorschlag: § 10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