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KGSGZustV (Brandenburg) — Inkrafttreten</w:t>
      </w:r>
    </w:p>
    <w:p>
      <w:r>
        <w:rPr>
          <w:color w:val="555555"/>
          <w:sz w:val="18"/>
        </w:rPr>
        <w:t xml:space="preserve">Kulturgutschutzgesetzzuständigkeitsverordnung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13. März 2017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2 KGSGZustV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