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KGSG — Fortgeltung und Befristung bisherigen Abwanderungsschutzes</w:t>
      </w:r>
    </w:p>
    <w:p>
      <w:r>
        <w:rPr>
          <w:color w:val="555555"/>
          <w:sz w:val="18"/>
        </w:rPr>
        <w:t xml:space="preserve">Kulturgutschutzgesetz</w:t>
      </w:r>
    </w:p>
    <w:p>
      <w:r>
        <w:rPr>
          <w:color w:val="555555"/>
          <w:sz w:val="18"/>
        </w:rPr>
        <w:t xml:space="preserve">Stand: 10.06.2019 (konsolidierte Textfassung, kein amtliches Inkrafttretensdatum)</w:t>
      </w:r>
    </w:p>
    <w:p>
      <w:r>
        <w:t xml:space="preserve">(1) Bestandteil des Verzeichnisses national wertvollen Kulturgutes ist Kulturgut, das aufgrund des Gesetzes zum Schutz deutschen Kulturgutes gegen Abwanderung in der Fassung der Bekanntmachung vom 8. Juli 1999 (BGBl. I S. 1754), das zuletzt durch Artikel 2 des Gesetzes vom 18. Mai 2007 (BGBl. I S. 757) geändert worden ist, eingetragen worden ist in</w:t>
      </w:r>
    </w:p>
    <w:p>
      <w:pPr>
        <w:ind w:left="420"/>
      </w:pPr>
      <w:r>
        <w:t xml:space="preserve">1. ein Verzeichnis national wertvollen Kulturgutes oder</w:t>
      </w:r>
    </w:p>
    <w:p>
      <w:pPr>
        <w:ind w:left="420"/>
      </w:pPr>
      <w:r>
        <w:t xml:space="preserve">2. ein Verzeichnis national wertvoller Archive eines Landes.</w:t>
      </w:r>
    </w:p>
    <w:p>
      <w:r>
        <w:t xml:space="preserve">(2) Die Ausfuhr bleibt genehmigungspflichtig, längstens bis zum Ablauf des 31. Dezember 2025</w:t>
      </w:r>
    </w:p>
    <w:p>
      <w:pPr>
        <w:ind w:left="420"/>
      </w:pPr>
      <w:r>
        <w:t xml:space="preserve">1. von Kunstwerken, die aufgrund der Verordnung über die Ausfuhr von Kunstwerken der Reichsregierung vom 11. Dezember 1919 (RGBl. S. 1961), die zuletzt durch die Verordnung vom 20. Dezember 1932 (RGBl. I S. 572) verlängert worden ist, in das Verzeichnis der national wertvollen Kunstwerke eingetragen waren und über deren Eintragung in ein Verzeichnis national wertvollen Kulturgutes noch nicht entschieden worden ist, und</w:t>
      </w:r>
    </w:p>
    <w:p>
      <w:pPr>
        <w:ind w:left="420"/>
      </w:pPr>
      <w:r>
        <w:t xml:space="preserve">2. von registriertem Kulturgut nach dem Kulturgutschutzgesetz vom 3. Juli 1980 (GBl. I Nr. 20 S. 191) und über dessen Eintragung in ein Verzeichnis national wertvollen Kulturgutes noch nicht entschieden worden ist.</w:t>
      </w:r>
    </w:p>
    <w:p>
      <w:r>
        <w:t xml:space="preserve">(3) Für Verfahren, die bis 6. August 2016 eingeleitet und bekannt gemacht worden sind, gelten die Vorschriften des Gesetzes zum Schutz deutschen Kulturgutes gegen Abwanderung in der Fassung der Bekanntmachung vom 8. Juli 1999 (BGBl. I S. 1754), das zuletzt durch Artikel 2 des Gesetzes vom 18. Mai 2007 (BGBl. I S. 757, 2547) geändert worden ist, bis zum Abschluss des Verfahrens fort.</w:t>
      </w:r>
    </w:p>
    <w:p>
      <w:r>
        <w:rPr>
          <w:color w:val="555555"/>
          <w:sz w:val="17"/>
        </w:rPr>
        <w:t xml:space="preserve">Zitiervorschlag: § 90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