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KGSG — Aufgaben und Befugnisse der Zollbehörden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Staatsanwaltschaft kann bei Straftaten und Ordnungswidrigkeiten nach den §§ 83 und 84 Ermittlungen nach § 161 Absatz 1 Satz 1 der Strafprozessordnung in den Fällen des § 83 Absatz 1 Nummer 1, 2 oder 3 in Verbindung mit den Absätzen 4 und 6 sowie im Fall des § 83 Absatz 2 in Verbindung mit Absatz 4 auch durch die Hauptzollämter oder die Zollfahndungsämter vornehmen lassen. Die nach § 36 Absatz 1 Nummer 2 oder Absatz 2 des Gesetzes gegen Ordnungswidrigkeiten zuständige Verwaltungsbehörde kann in den Fällen des Satzes 1 Ermittlungen auch durch die Hauptzollämter oder die Zollfahndungsämter vornehmen lassen.</w:t>
      </w:r>
    </w:p>
    <w:p>
      <w:r>
        <w:t xml:space="preserve">(2) § 21 Absatz 3 des Außenwirtschaftsgesetzes vom 6. Juni 2013 (BGBl. I S. 1482), das durch Artikel 297 der Verordnung vom 31. August 2015 (BGBl. I S. 1474) geändert worden ist, ist entsprechend anzuwenden.</w:t>
      </w:r>
    </w:p>
    <w:p>
      <w:r>
        <w:rPr>
          <w:color w:val="555555"/>
          <w:sz w:val="17"/>
        </w:rPr>
        <w:t xml:space="preserve">Zitiervorschlag: § 87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