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KGSG — Besondere Voraussetzung der Verwertung von Kulturgut</w:t>
      </w:r>
    </w:p>
    <w:p>
      <w:r>
        <w:rPr>
          <w:color w:val="555555"/>
          <w:sz w:val="18"/>
        </w:rPr>
        <w:t xml:space="preserve">Kulturgutschutzgesetz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Kulturgut, das der Einziehung unterliegt, darf nur mit Zustimmung der zuständigen Behörde verwertet werden.</w:t>
      </w:r>
    </w:p>
    <w:p>
      <w:r>
        <w:t xml:space="preserve">(2) Die Zustimmung kann versagt werden. Sie ist im Regelfall zu versagen für Kulturgut,</w:t>
      </w:r>
    </w:p>
    <w:p>
      <w:pPr>
        <w:ind w:left="420"/>
      </w:pPr>
      <w:r>
        <w:t xml:space="preserve">1. das der genehmigungspflichtigen Ausfuhr nach § 24 unterliegt und dessen Eintragung in ein Verzeichnis national wertvollen Kulturgutes noch nicht abschließend geprüft worden ist,</w:t>
      </w:r>
    </w:p>
    <w:p>
      <w:pPr>
        <w:ind w:left="420"/>
      </w:pPr>
      <w:r>
        <w:t xml:space="preserve">2. das einem Rückgabeanspruch nach Kapitel 5 unterliegen könnte und für das die Verjährungsfrist für den Rückgabeanspruch noch nicht abgelaufen oder der Anspruch noch nicht erloschen ist oder</w:t>
      </w:r>
    </w:p>
    <w:p>
      <w:pPr>
        <w:ind w:left="420"/>
      </w:pPr>
      <w:r>
        <w:t xml:space="preserve">3. dessen Inverkehrbringen nach § 40 verboten ist oder für dessen Inverkehrbringen eine erhöhte Sorgfaltspflicht nach § 44 besteht.</w:t>
      </w:r>
    </w:p>
    <w:p>
      <w:r>
        <w:t xml:space="preserve">(3) Vor der Verwertung von Kulturgut ausländischer Staaten sind das Auswärtige Amt und die für Kultur und Medien zuständige oberste Bundesbehörde anzuhören.</w:t>
      </w:r>
    </w:p>
    <w:p>
      <w:r>
        <w:t xml:space="preserve">(4) Die Absätze 1 bis 3 sind auch bei Einziehung nach anderen Rechtsvorschriften anzuwenden.</w:t>
      </w:r>
    </w:p>
    <w:p>
      <w:r>
        <w:t xml:space="preserve">(5) Eine Verwertung von Kulturgut, das die zuständige Behörde nach diesem Gesetz eingezogen hat, ist erst möglich, wenn die Voraussetzungen nach Absatz 2 abschließend geprüft sind.</w:t>
      </w:r>
    </w:p>
    <w:p>
      <w:r>
        <w:rPr>
          <w:color w:val="555555"/>
          <w:sz w:val="17"/>
        </w:rPr>
        <w:t xml:space="preserve">Zitiervorschlag: § 86 KGSG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https://recht.nulegal.eu/gesetze/KGSG/86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