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KGSG — Strafvorschriften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entgegen § 21 Nummer 1, 2, 4 oder 5 Kulturgut ausführt,</w:t>
      </w:r>
    </w:p>
    <w:p>
      <w:pPr>
        <w:ind w:left="420"/>
      </w:pPr>
      <w:r>
        <w:t xml:space="preserve">2. entgegen § 21 Nummer 3 Kulturgut ausführt, von dem er weiß, dass es nach § 32 Absatz 1 Nummer 1 oder 2 unrechtmäßig eingeführt wurde,</w:t>
      </w:r>
    </w:p>
    <w:p>
      <w:pPr>
        <w:ind w:left="420"/>
      </w:pPr>
      <w:r>
        <w:t xml:space="preserve">3. entgegen § 28 Kulturgut einführt, von dem er weiß, dass es unter Verstoß gegen eine dort genannte Rechtsvorschrift verbracht worden ist,</w:t>
      </w:r>
    </w:p>
    <w:p>
      <w:pPr>
        <w:ind w:left="420"/>
      </w:pPr>
      <w:r>
        <w:t xml:space="preserve">4. entgegen § 40 Absatz 1 Kulturgut in Verkehr bringt, das abhandengekommen ist oder von dem er weiß, dass es rechtswidrig ausgegraben oder nach § 32 Absatz 1 Nummer 1 oder 2 unrechtmäßig eingeführt worden ist, oder</w:t>
      </w:r>
    </w:p>
    <w:p>
      <w:pPr>
        <w:ind w:left="420"/>
      </w:pPr>
      <w:r>
        <w:t xml:space="preserve">5. entgegen § 40 Absatz 3 ein Verpflichtungs- oder Verfügungsgeschäft über Kulturgut abschließt, das durch eine in Nummer 1 oder 2 bezeichnete Handlung ausgeführt worden ist.</w:t>
      </w:r>
    </w:p>
    <w:p>
      <w:r>
        <w:t xml:space="preserve">(2) Ebenso wird bestraft, wer entgegen Artikel 2 Absatz 1 der Verordnung (EG) Nr. 116/2009 des Rates vom 18. Dezember 2008 über die Ausfuhr von Kulturgütern (kodifizierte Fassung) (ABl. L 39 vom 10.2.2009, S. 1) Kulturgut ausführt.</w:t>
      </w:r>
    </w:p>
    <w:p>
      <w:r>
        <w:t xml:space="preserve">(3) Mit Freiheitsstrafe bis zu drei Jahren oder mit Geldstrafe wird bestraft, wer entgegen § 18 Absatz 1, auch in Verbindung mit Absatz 2, Kulturgut beschädigt, zerstört oder verändert.</w:t>
      </w:r>
    </w:p>
    <w:p>
      <w:r>
        <w:t xml:space="preserve">(4) Der Versuch ist strafbar.</w:t>
      </w:r>
    </w:p>
    <w:p>
      <w:r>
        <w:t xml:space="preserve">(5) Mit Freiheitsstrafe von einem Jahr bis zu zehn Jahren wird bestraft, wer in den Fällen des Absatzes 1 Nummer 4</w:t>
      </w:r>
    </w:p>
    <w:p>
      <w:pPr>
        <w:ind w:left="420"/>
      </w:pPr>
      <w:r>
        <w:t xml:space="preserve">1. gewerbsmäßig handelt oder</w:t>
      </w:r>
    </w:p>
    <w:p>
      <w:pPr>
        <w:ind w:left="420"/>
      </w:pPr>
      <w:r>
        <w:t xml:space="preserve">2. als Mitglied einer Bande handelt, die sich zur fortgesetzten Begehung solcher Taten verbunden hat.</w:t>
      </w:r>
    </w:p>
    <w:p>
      <w:r>
        <w:t xml:space="preserve">(6) Mit Freiheitsstrafe bis zu drei Jahren oder mit Geldstrafe wird bestraft, wer in den Fällen des Absatzes 1 Nummer 1 oder des Absatzes 2 in Ausübung einer gewerblichen Tätigkeit fahrlässig handelt.</w:t>
      </w:r>
    </w:p>
    <w:p>
      <w:r>
        <w:t xml:space="preserve">(7) Das Gericht kann in den Fällen des Absatzes 1 Nummer 1 die Strafe nach § 49 Absatz 1 des Strafgesetzbuches mildern oder von Strafe absehen, wenn der Täter das Kulturgut unverzüglich in das Bundesgebiet zurückbringt.</w:t>
      </w:r>
    </w:p>
    <w:p>
      <w:r>
        <w:rPr>
          <w:color w:val="555555"/>
          <w:sz w:val="17"/>
        </w:rPr>
        <w:t xml:space="preserve">Zitiervorschlag: § 83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