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KGSG — Mitwirkung der Zollbehörden, Anhaltung von Kulturgut</w:t>
      </w:r>
    </w:p>
    <w:p>
      <w:r>
        <w:rPr>
          <w:color w:val="555555"/>
          <w:sz w:val="18"/>
        </w:rPr>
        <w:t xml:space="preserve">Kulturgutschutzgesetz</w:t>
      </w:r>
    </w:p>
    <w:p>
      <w:r>
        <w:rPr>
          <w:color w:val="555555"/>
          <w:sz w:val="18"/>
        </w:rPr>
        <w:t xml:space="preserve">Stand: 23.07.2025 (konsolidierte Textfassung, kein amtliches Inkrafttretensdatum)</w:t>
      </w:r>
    </w:p>
    <w:p>
      <w:r>
        <w:t xml:space="preserve">(1) Die Zollbehörden wirken im Rahmen ihrer Zuständigkeit bei der Überwachung der Ein- und Ausfuhr von Kulturgut mit, für das Verbote oder Beschränkungen nach diesem Gesetz oder einer aufgrund dieses Gesetzes erlassenen Rechtsverordnung gelten. Soweit es zur Durchführung dieses Gesetzes und der aufgrund dieses Gesetzes erlassenen Rechtsverordnungen erforderlich ist, dürfen die Zollbehörden die im Rahmen ihrer zollamtlichen Überwachung gewonnenen Informationen, auch soweit sie dem Steuergeheimnis unterliegen, den zuständigen Behörden übermitteln. Das Grundrecht des Briefgeheimnisses sowie des Post- und Fernmeldegeheimnisses (Artikel 10 des Grundgesetzes) wird insoweit eingeschränkt.</w:t>
      </w:r>
    </w:p>
    <w:p>
      <w:r>
        <w:t xml:space="preserve">(2) Die für Kultur und Medien zuständige oberste Bundesbehörde kann der zuständigen zentralen Stelle der Zollverwaltung konkrete länder-, waren- oder personenbezogene Risikohinweise übermitteln.</w:t>
      </w:r>
    </w:p>
    <w:p>
      <w:r>
        <w:t xml:space="preserve">(3) Ergeben sich bei der zollamtlichen Überwachung Anhaltspunkte für einen Verstoß gegen dieses Gesetz oder gegen eine aufgrund dieses Gesetzes erlassene Rechtsverordnung, so unterrichten die Zollbehörden unverzüglich die zuständige Behörde des Landes, in dem sich das Kulturgut bei der Anhaltung befindet.</w:t>
      </w:r>
    </w:p>
    <w:p>
      <w:r>
        <w:t xml:space="preserve">(4) Im Falle des Absatzes 3 halten die Zollbehörden die Waren, deren Beförderungs- und Verpackungsmittel sowie die beigefügten Unterlagen auf Kosten und Gefahr der Person, der durch die Anhaltung der Gewahrsam entzogen wird, oder in den Fällen des § 33 Absatz 2 Satz 2 auf Kosten und Gefahr des im Bundesgebiet ansässigen Empfängers oder des im Bundesgebiet ansässigen Versenders an. Sie können die angehaltenen Waren sowie deren Beförderungs- und Verpackungsmittel auch durch einen Dritten verwahren lassen. § 39 ist entsprechend anzuwenden.</w:t>
      </w:r>
    </w:p>
    <w:p>
      <w:r>
        <w:t xml:space="preserve">(5) Die Zollbehörde gibt das angehaltene Kulturgut, die Beförderungs- und Verpackungsmittel sowie die beigefügten Unterlagen frei, wenn die sonstigen Anforderungen und Förmlichkeiten für eine Freigabe erfüllt sind und</w:t>
      </w:r>
    </w:p>
    <w:p>
      <w:pPr>
        <w:ind w:left="420"/>
      </w:pPr>
      <w:r>
        <w:t xml:space="preserve">1. die zuständige Behörde mitgeteilt hat, dass sie das Kulturgut nach § 33 sichergestellt hat,</w:t>
      </w:r>
    </w:p>
    <w:p>
      <w:pPr>
        <w:ind w:left="420"/>
      </w:pPr>
      <w:r>
        <w:t xml:space="preserve">2. die zuständige Behörde mitgeteilt hat, dass das Kulturgut nicht sichergestellt wird, oder</w:t>
      </w:r>
    </w:p>
    <w:p>
      <w:pPr>
        <w:ind w:left="420"/>
      </w:pPr>
      <w:r>
        <w:t xml:space="preserve">3. nach Ablauf von drei Arbeitstagen seit der Unterrichtung nach Absatz 3 keine Mitteilung der zuständigen Behörde zum weiteren Vorgehen vorliegt oder</w:t>
      </w:r>
    </w:p>
    <w:p>
      <w:pPr>
        <w:ind w:left="420"/>
      </w:pPr>
      <w:r>
        <w:t xml:space="preserve">4. nach Ablauf von 15 Arbeitstagen seit der Unterrichtung nach Absatz 3 keine Mitteilung der zuständigen Behörde über die Sicherstellung des Kulturgutes nach § 33 vorliegt.</w:t>
      </w:r>
    </w:p>
    <w:p>
      <w:r>
        <w:t xml:space="preserve">(6) Es ist verboten, nach Absatz 4 angehaltenes Kulturgut zu beschädigen, zu zerstören oder dessen Erscheinungsbild nicht nur unerheblich und nicht nur vorübergehend zu verändern.</w:t>
      </w:r>
    </w:p>
    <w:p>
      <w:r>
        <w:rPr>
          <w:color w:val="555555"/>
          <w:sz w:val="17"/>
        </w:rPr>
        <w:t xml:space="preserve">Zitiervorschlag: § 81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