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80 KGSG — Übermittlung von Informationen einschließlich personenbezogener Daten an Mitgliedstaaten und Vertragsstaaten</w:t>
      </w:r>
    </w:p>
    <w:p>
      <w:r>
        <w:rPr>
          <w:color w:val="555555"/>
          <w:sz w:val="18"/>
        </w:rPr>
        <w:t xml:space="preserve">Kulturgutschutzgesetz</w:t>
      </w:r>
    </w:p>
    <w:p>
      <w:r>
        <w:rPr>
          <w:color w:val="555555"/>
          <w:sz w:val="18"/>
        </w:rPr>
        <w:t xml:space="preserve">Stand: 02.12.2019 (konsolidierte Textfassung, kein amtliches Inkrafttretensdatum)</w:t>
      </w:r>
    </w:p>
    <w:p>
      <w:r>
        <w:t xml:space="preserve">(1) Die für Kultur und Medien zuständige oberste Bundesbehörde erteilt den zuständigen zentralen Stellen eines Mitgliedstaates auf begründetes Ersuchen,</w:t>
      </w:r>
    </w:p>
    <w:p>
      <w:pPr>
        <w:ind w:left="420"/>
      </w:pPr>
      <w:r>
        <w:t xml:space="preserve">1. soweit es für deren Prüfung erforderlich ist, Auskunft, ob</w:t>
      </w:r>
    </w:p>
    <w:p>
      <w:pPr>
        <w:ind w:left="780"/>
      </w:pPr>
      <w:r>
        <w:t xml:space="preserve">a) die Voraussetzungen für ein Rückgabeersuchen oder eine Klage auf Rückgabe gegeben sind oder</w:t>
      </w:r>
    </w:p>
    <w:p>
      <w:pPr>
        <w:ind w:left="780"/>
      </w:pPr>
      <w:r>
        <w:t xml:space="preserve">b) die Voraussetzungen für die Erteilung einer Ausfuhrgenehmigung nach der Verordnung (EG) Nr. 116/2009 gegeben sind, sowie</w:t>
      </w:r>
    </w:p>
    <w:p>
      <w:pPr>
        <w:ind w:left="420"/>
      </w:pPr>
      <w:r>
        <w:t xml:space="preserve">2. Auskünfte, die zur Auffindung und Rückgabe von gestohlenem oder unrechtmäßig in das Bundesgebiet eingeführtem Kulturgut beitragen können.</w:t>
      </w:r>
    </w:p>
    <w:p>
      <w:r>
        <w:t xml:space="preserve">Die Auskunftserteilung nach Satz 1 Nummer 1 und 2 umfasst neben nichtpersonenbezogenen Daten den Namen und die ladungsfähige Anschrift der derzeitigen oder vorherigen Eigentümer oder Besitzer, soweit dies für die Prüfung der zuständigen Stelle des anderen Mitgliedstaates erforderlich ist.</w:t>
      </w:r>
    </w:p>
    <w:p>
      <w:r>
        <w:t xml:space="preserve">(2) Das Auswärtige Amt erteilt einem Vertragsstaat auf begründetes Ersuchen</w:t>
      </w:r>
    </w:p>
    <w:p>
      <w:pPr>
        <w:ind w:left="420"/>
      </w:pPr>
      <w:r>
        <w:t xml:space="preserve">1. soweit es für dessen Prüfung erforderlich ist, Auskunft, ob die Voraussetzungen für ein Rückgabeersuchen oder eine Klage auf Rückgabe gegeben sind, sowie</w:t>
      </w:r>
    </w:p>
    <w:p>
      <w:pPr>
        <w:ind w:left="420"/>
      </w:pPr>
      <w:r>
        <w:t xml:space="preserve">2. Auskünfte, die zur Auffindung und Rückgabe von gestohlenem oder unrechtmäßig in das Bundesgebiet eingeführtem Kulturgut beitragen können.</w:t>
      </w:r>
    </w:p>
    <w:p>
      <w:r>
        <w:t xml:space="preserve">(3) Personenbezogene Daten dürfen an Stellen in Mitgliedstaaten und Vertragsstaaten nur übermittelt werden, wenn deren Kenntnis für die Rechtsverfolgung von Rückgabeansprüchen nach diesem Gesetz erforderlich ist.</w:t>
      </w:r>
    </w:p>
    <w:p>
      <w:r>
        <w:rPr>
          <w:color w:val="555555"/>
          <w:sz w:val="17"/>
        </w:rPr>
        <w:t xml:space="preserve">Zitiervorschlag: § 80 KGSG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https://recht.nulegal.eu/gesetze/KGSG/80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