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KGSG — Nachträgliche Eintragung</w:t>
      </w:r>
    </w:p>
    <w:p>
      <w:r>
        <w:rPr>
          <w:color w:val="555555"/>
          <w:sz w:val="18"/>
        </w:rPr>
        <w:t xml:space="preserve">Kulturgutschutzgesetz</w:t>
      </w:r>
    </w:p>
    <w:p>
      <w:r>
        <w:rPr>
          <w:color w:val="555555"/>
          <w:sz w:val="18"/>
        </w:rPr>
        <w:t xml:space="preserve">Stand: 10.06.2019 (konsolidierte Textfassung, kein amtliches Inkrafttretensdatum)</w:t>
      </w:r>
    </w:p>
    <w:p>
      <w:r>
        <w:t xml:space="preserve">(1) Ist Kulturgut unter Verstoß gegen § 24 ausgeführt worden, so kann es von der zuständigen obersten Landesbehörde auch nach der Ausfuhr in ein Verzeichnis national wertvollen Kulturgutes eingetragen werden, wenn die Voraussetzungen nach § 7 Absatz 1 und 2 erfüllt sind.</w:t>
      </w:r>
    </w:p>
    <w:p>
      <w:r>
        <w:t xml:space="preserve">(2) Die örtliche Zuständigkeit für die Eintragung richtet sich nach dem Ort der letzten dauerhaften Belegenheit im Bundesgebiet. Ist dieser Ort nicht feststellbar, bestimmt die für Kultur und Medien zuständige oberste Bundesbehörde die zuständige oberste Landesbehörde. Dabei hat sie die besondere Verbindung des Kulturgutes mit einem Land aus historischen oder anderen Gründen zu berücksichtigen.</w:t>
      </w:r>
    </w:p>
    <w:p>
      <w:r>
        <w:t xml:space="preserve">(3) Die Befugnis zur nachträglichen Eintragung in ein Verzeichnis national wertvollen Kulturgutes endet, wenn die zuständige oberste Landesbehörde das Eintragungsverfahren nicht innerhalb eines Jahres eingeleitet hat, nachdem sie von der unrechtmäßigen Ausfuhr und dem Ort der neuen Belegenheit Kenntnis erlangt hat.</w:t>
      </w:r>
    </w:p>
    <w:p>
      <w:r>
        <w:t xml:space="preserve">(4) Mit der Einleitung des Eintragungsverfahrens gilt das Kulturgut nach Absatz 1 als nationales Kulturgut, bis die Entscheidung über die Eintragung unanfechtbar geworden ist.</w:t>
      </w:r>
    </w:p>
    <w:p>
      <w:r>
        <w:rPr>
          <w:color w:val="555555"/>
          <w:sz w:val="17"/>
        </w:rPr>
        <w:t xml:space="preserve">Zitiervorschlag: § 8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