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KGSG — Übermittlung von Informationen einschließlich personenbezogener Daten an die zuständige Behörde</w:t>
      </w:r>
    </w:p>
    <w:p>
      <w:r>
        <w:rPr>
          <w:color w:val="555555"/>
          <w:sz w:val="18"/>
        </w:rPr>
        <w:t xml:space="preserve">Kulturgutschutzgesetz</w:t>
      </w:r>
    </w:p>
    <w:p>
      <w:r>
        <w:rPr>
          <w:color w:val="555555"/>
          <w:sz w:val="18"/>
        </w:rPr>
        <w:t xml:space="preserve">Stand: 02.12.2019 (konsolidierte Textfassung, kein amtliches Inkrafttretensdatum)</w:t>
      </w:r>
    </w:p>
    <w:p>
      <w:r>
        <w:t xml:space="preserve">(1) Öffentliche Stellen im Sinne des § 2 des Bundesdatenschutzgesetzes dürfen Informationen einschließlich personenbezogener Daten der nach diesem Gesetz zuständigen Behörde des Bundes und der Länder übermitteln, soweit dies erforderlich ist, damit diese Behörde ihre in § 77 genannten Aufgaben erfüllen kann.</w:t>
      </w:r>
    </w:p>
    <w:p>
      <w:r>
        <w:t xml:space="preserve">(2) Öffentliche Stellen haben unverzüglich die zuständigen Behörden des Bundes und der Länder zu unterrichten, wenn sie im Zusammenhang mit der Erfüllung ihrer Aufgaben Kenntnis davon erlangen, dass Kulturgut unter Verstoß gegen die Einfuhr- und Ausfuhrbestimmungen ein- oder ausgeführt worden ist oder werden soll.</w:t>
      </w:r>
    </w:p>
    <w:p>
      <w:r>
        <w:t xml:space="preserve">(3) Die für die Einleitung und Durchführung eines Straf- oder eines Bußgeldverfahrens zuständigen Stellen haben die nach diesem Gesetz zuständigen Behörden des Bundes und der Länder unverzüglich über die Einleitung und die Erledigung eines auf Kulturgut bezogenen Straf- oder Bußgeldverfahrens bei der Staatsanwaltschaft, bei Gericht oder bei der für die Verfolgung und Ahndung der Ordnungswidrigkeit zuständigen Verwaltungsbehörde unter Angabe der gesetzlichen Vorschriften zu unterrichten. Satz 1 ist nicht für Verfahren wegen einer Ordnungswidrigkeit anzuwenden, die nur mit einer Geldbuße bis zu tausend Euro geahndet werden kann.</w:t>
      </w:r>
    </w:p>
    <w:p>
      <w:r>
        <w:t xml:space="preserve">(4) Bei Eingang eines Rechtshilfeersuchens eines anderen Mitgliedstaates oder Vertragsstaates ist Absatz 3 entsprechend anzuwenden mit der Maßgabe, dass auch die für Kultur und Medien zuständige oberste Bundesbehörde unterrichtet wird. Diese unterrichtet in Fällen eines Rechtshilfeersuchens eines Vertragsstaates das Auswärtige Amt.</w:t>
      </w:r>
    </w:p>
    <w:p>
      <w:r>
        <w:rPr>
          <w:color w:val="555555"/>
          <w:sz w:val="17"/>
        </w:rPr>
        <w:t xml:space="preserve">Zitiervorschlag: § 78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