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KGSG — Verarbeitung von Informationen einschließlich personenbezogener Daten</w:t>
      </w:r>
    </w:p>
    <w:p>
      <w:r>
        <w:rPr>
          <w:color w:val="555555"/>
          <w:sz w:val="18"/>
        </w:rPr>
        <w:t xml:space="preserve">Kulturgutschutzgesetz</w:t>
      </w:r>
    </w:p>
    <w:p>
      <w:r>
        <w:rPr>
          <w:color w:val="555555"/>
          <w:sz w:val="18"/>
        </w:rPr>
        <w:t xml:space="preserve">Stand: 02.12.2019 (konsolidierte Textfassung, kein amtliches Inkrafttretensdatum)</w:t>
      </w:r>
    </w:p>
    <w:p>
      <w:r>
        <w:t xml:space="preserve">(1) Die für die Ausführung dieses Gesetzes zuständigen Behörden des Bundes und der Länder dürfen Informationen einschließlich personenbezogener Daten verarbeiten, soweit dies erforderlich ist</w:t>
      </w:r>
    </w:p>
    <w:p>
      <w:pPr>
        <w:ind w:left="420"/>
      </w:pPr>
      <w:r>
        <w:t xml:space="preserve">1. zur Erfüllung ihrer Aufgaben nach diesem Gesetz, nach landesrechtlichen Regelungen zum Schutz beweglichen Kulturgutes, nach unmittelbar geltenden Rechtsakten der Europäischen Union und der Europäischen Gemeinschaft, die Verbote und Beschränkungen enthalten, sowie</w:t>
      </w:r>
    </w:p>
    <w:p>
      <w:pPr>
        <w:ind w:left="420"/>
      </w:pPr>
      <w:r>
        <w:t xml:space="preserve">2. zur Erfüllung ihrer Aufgaben nach der aufgrund dieses Gesetzes erlassenen Rechtsverordnung.</w:t>
      </w:r>
    </w:p>
    <w:p>
      <w:r>
        <w:t xml:space="preserve">(2) Die Vorschriften zum Schutz personenbezogener Daten bleiben unberührt.</w:t>
      </w:r>
    </w:p>
    <w:p>
      <w:r>
        <w:rPr>
          <w:color w:val="555555"/>
          <w:sz w:val="17"/>
        </w:rPr>
        <w:t xml:space="preserve">Zitiervorschlag: § 77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