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KGSG — Kosten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notwendigen Kosten und Auslagen, die durch die Geltendmachung des Rückgabeanspruchs entstanden sind, trägt derjenige, der das Kulturgut unrechtmäßig ausgeführt hat. § 840 Absatz 1 des Bürgerlichen Gesetzbuches ist entsprechend anzuwenden.</w:t>
      </w:r>
    </w:p>
    <w:p>
      <w:r>
        <w:t xml:space="preserve">(2) Die Bundesbehörde, die den Rückgabeanspruch nach den §§ 69, 70 geltend macht, setzt den zu erstattenden Betrag durch Bescheid fest.</w:t>
      </w:r>
    </w:p>
    <w:p>
      <w:r>
        <w:rPr>
          <w:color w:val="555555"/>
          <w:sz w:val="17"/>
        </w:rPr>
        <w:t xml:space="preserve">Zitiervorschlag: § 71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