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KGSG — Eintragung in ein Verzeichnis national wertvollen Kulturgutes</w:t>
      </w:r>
    </w:p>
    <w:p>
      <w:r>
        <w:rPr>
          <w:color w:val="555555"/>
          <w:sz w:val="18"/>
        </w:rPr>
        <w:t xml:space="preserve">Kulturgutschutzgesetz</w:t>
      </w:r>
    </w:p>
    <w:p>
      <w:r>
        <w:rPr>
          <w:color w:val="555555"/>
          <w:sz w:val="18"/>
        </w:rPr>
        <w:t xml:space="preserve">Stand: 10.06.2019 (konsolidierte Textfassung, kein amtliches Inkrafttretensdatum)</w:t>
      </w:r>
    </w:p>
    <w:p>
      <w:r>
        <w:t xml:space="preserve">(1) Kulturgut ist von der obersten Landesbehörde in ein Verzeichnis national wertvollen Kulturgutes einzutragen, wenn</w:t>
      </w:r>
    </w:p>
    <w:p>
      <w:pPr>
        <w:ind w:left="420"/>
      </w:pPr>
      <w:r>
        <w:t xml:space="preserve">1. es besonders bedeutsam für das kulturelle Erbe Deutschlands, der Länder oder einer seiner historischen Regionen und damit identitätsstiftend für die Kultur Deutschlands ist und</w:t>
      </w:r>
    </w:p>
    <w:p>
      <w:pPr>
        <w:ind w:left="420"/>
      </w:pPr>
      <w:r>
        <w:t xml:space="preserve">2. seine Abwanderung einen wesentlichen Verlust für den deutschen Kulturbesitz bedeuten würde und deshalb sein Verbleib im Bundesgebiet im herausragenden kulturellen öffentlichen Interesse liegt.</w:t>
      </w:r>
    </w:p>
    <w:p>
      <w:r>
        <w:t xml:space="preserve">Werke lebender Urheber oder Hersteller dürfen nur mit deren Zustimmung eingetragen werden.</w:t>
      </w:r>
    </w:p>
    <w:p>
      <w:r>
        <w:t xml:space="preserve">(2) Eine Sachgesamtheit ist auch dann nach Absatz 1 in ein Verzeichnis national wertvollen Kulturgutes einzutragen, wenn die Sachgesamtheit als solche, nicht aber zwingend ihre einzelnen Bestandteile die Kriterien nach Absatz 1 erfüllen. Einer Eintragung steht nicht entgegen, wenn eine Sachgesamtheit</w:t>
      </w:r>
    </w:p>
    <w:p>
      <w:pPr>
        <w:ind w:left="420"/>
      </w:pPr>
      <w:r>
        <w:t xml:space="preserve">1. teilweise zerstört ist,</w:t>
      </w:r>
    </w:p>
    <w:p>
      <w:pPr>
        <w:ind w:left="420"/>
      </w:pPr>
      <w:r>
        <w:t xml:space="preserve">2. an unterschiedlichen Orten im Inland aufbewahrt ist oder</w:t>
      </w:r>
    </w:p>
    <w:p>
      <w:pPr>
        <w:ind w:left="420"/>
      </w:pPr>
      <w:r>
        <w:t xml:space="preserve">3. teilweise im Ausland aufbewahrt ist.</w:t>
      </w:r>
    </w:p>
    <w:p>
      <w:r>
        <w:t xml:space="preserve">(3) Zuständig für die Eintragung in ein Verzeichnis national wertvollen Kulturgutes ist die oberste Landesbehörde des Landes, in dem sich das Kulturgut zum Zeitpunkt der Einleitung des Eintragungsverfahrens befindet. Die Zuständigkeit bleibt bestehen, bis die Entscheidung über die Eintragung unanfechtbar geworden ist.</w:t>
      </w:r>
    </w:p>
    <w:p>
      <w:r>
        <w:t xml:space="preserve">(4) Die Eintragung von Kulturgut im Eigentum der Kirchen und der als Körperschaften des öffentlichen Rechts anerkannten Religionsgemeinschaften richtet sich nach § 9.</w:t>
      </w:r>
    </w:p>
    <w:p>
      <w:r>
        <w:rPr>
          <w:color w:val="555555"/>
          <w:sz w:val="17"/>
        </w:rPr>
        <w:t xml:space="preserve">Zitiervorschlag: § 7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