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KGSG — Rückgabeanspruch gegenüber Mitgliedstaaten</w:t>
      </w:r>
    </w:p>
    <w:p>
      <w:r>
        <w:rPr>
          <w:color w:val="555555"/>
          <w:sz w:val="18"/>
        </w:rPr>
        <w:t xml:space="preserve">Kulturgutschutzgesetz</w:t>
      </w:r>
    </w:p>
    <w:p>
      <w:r>
        <w:rPr>
          <w:color w:val="555555"/>
          <w:sz w:val="18"/>
        </w:rPr>
        <w:t xml:space="preserve">Stand: 10.06.2019 (konsolidierte Textfassung, kein amtliches Inkrafttretensdatum)</w:t>
      </w:r>
    </w:p>
    <w:p>
      <w:r>
        <w:t xml:space="preserve">(1) Den Anspruch auf Rückgabe von Kulturgut, das unrechtmäßig in das Hoheitsgebiet eines Mitgliedstaates ausgeführt worden ist, macht im jeweiligen Mitgliedstaat nach dessen Vorschriften die für Kultur und Medien zuständige oberste Bundesbehörde im Benehmen mit der zuständigen obersten Landesbehörde des Landes, in dem sich das Kulturgut vor der unrechtmäßigen Ausfuhr dauerhaft befand, geltend. Ist der Ort der letzten dauerhaften Belegenheit des Kulturgutes im Bundesgebiet nicht feststellbar, so macht die für Kultur und Medien zuständige oberste Bundesbehörde den Anspruch geltend.</w:t>
      </w:r>
    </w:p>
    <w:p>
      <w:r>
        <w:t xml:space="preserve">(2) Die für Kultur und Medien zuständige oberste Bundesbehörde setzt die zuständige zentrale Stelle des ersuchten Mitgliedstaates unverzüglich davon in Kenntnis, dass sie Klage auf Rückgabe des betreffenden Kulturgutes erhoben hat.</w:t>
      </w:r>
    </w:p>
    <w:p>
      <w:r>
        <w:rPr>
          <w:color w:val="555555"/>
          <w:sz w:val="17"/>
        </w:rPr>
        <w:t xml:space="preserve">Zitiervorschlag: § 69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