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KGSG — Höhe der Entschädigung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(1) Die Höhe der Entschädigung bestimmt sich unter Berücksichtigung der entstandenen Aufwendungen des Eigenbesitzers für</w:t>
      </w:r>
    </w:p>
    <w:p>
      <w:pPr>
        <w:ind w:left="420"/>
      </w:pPr>
      <w:r>
        <w:t xml:space="preserve">1. den Erwerb des Kulturgutes und</w:t>
      </w:r>
    </w:p>
    <w:p>
      <w:pPr>
        <w:ind w:left="420"/>
      </w:pPr>
      <w:r>
        <w:t xml:space="preserve">2. die notwendigen Maßnahmen zur Erhaltung des Kulturgutes.</w:t>
      </w:r>
    </w:p>
    <w:p>
      <w:r>
        <w:t xml:space="preserve">Die Entschädigung darf die Aufwendungen nicht übersteigen. Für entgangenen Gewinn ist keine Entschädigung zu zahlen.</w:t>
      </w:r>
    </w:p>
    <w:p>
      <w:r>
        <w:t xml:space="preserve">(2) Bleibt das Kulturgut auch nach der Rückgabe Eigentum des Eigenbesitzers, so hat der ersuchende Mitgliedstaat oder Vertragsstaat dem Rückgabeschuldner abweichend von Absatz 1 nur die Aufwendungen zu erstatten, die dem Rückgabeschuldner daraus entstanden sind, dass er darauf vertraut hat, das Kulturgut im Bundesgebiet belassen zu dürfen.</w:t>
      </w:r>
    </w:p>
    <w:p>
      <w:r>
        <w:rPr>
          <w:color w:val="555555"/>
          <w:sz w:val="17"/>
        </w:rPr>
        <w:t xml:space="preserve">Zitiervorschlag: § 67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