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KGSG — Entschädigung bei Rückgabe</w:t>
      </w:r>
    </w:p>
    <w:p>
      <w:r>
        <w:rPr>
          <w:color w:val="555555"/>
          <w:sz w:val="18"/>
        </w:rPr>
        <w:t xml:space="preserve">Kulturgutschutzgesetz</w:t>
      </w:r>
    </w:p>
    <w:p>
      <w:r>
        <w:rPr>
          <w:color w:val="555555"/>
          <w:sz w:val="18"/>
        </w:rPr>
        <w:t xml:space="preserve">Stand: 23.07.2025 (konsolidierte Textfassung, kein amtliches Inkrafttretensdatum)</w:t>
      </w:r>
    </w:p>
    <w:p>
      <w:r>
        <w:t xml:space="preserve">(1) Ist der Eigenbesitzer beim Erwerb des Kulturgutes mit der erforderlichen Sorgfalt vorgegangen, so kann er die Rückgabe des Kulturgutes verweigern, bis der ersuchende Mitgliedstaat oder Vertragsstaat eine angemessene Entschädigung geleistet hat.</w:t>
      </w:r>
    </w:p>
    <w:p>
      <w:r>
        <w:t xml:space="preserve">(2) Bei einer unentgeltlichen Rechtsnachfolge muss die erforderliche Sorgfalt beim Erwerb sowohl vom Rechtsvorgänger als auch vom Rechtsnachfolger beachtet worden sein. Beim Erwerb durch Erbschaft muss der Erbe oder Vermächtnisnehmer die mangelnde Sorgfalt des Erblassers gegen sich gelten lassen.</w:t>
      </w:r>
    </w:p>
    <w:p>
      <w:r>
        <w:t xml:space="preserve">(3) Bei der Entscheidung, ob der Eigenbesitzer mit der erforderlichen Sorgfalt vorgegangen ist, werden alle Umstände beim Erwerb des Kulturgutes berücksichtigt, insbesondere</w:t>
      </w:r>
    </w:p>
    <w:p>
      <w:pPr>
        <w:ind w:left="420"/>
      </w:pPr>
      <w:r>
        <w:t xml:space="preserve">1. die Unterlagen über die Herkunft des Kulturgutes,</w:t>
      </w:r>
    </w:p>
    <w:p>
      <w:pPr>
        <w:ind w:left="420"/>
      </w:pPr>
      <w:r>
        <w:t xml:space="preserve">2. die nach dem Recht des ersuchenden Mitgliedstaates oder Vertragsstaates erforderliche Ausfuhrgenehmigung,</w:t>
      </w:r>
    </w:p>
    <w:p>
      <w:pPr>
        <w:ind w:left="420"/>
      </w:pPr>
      <w:r>
        <w:t xml:space="preserve">3. die jeweiligen Eigenschaften der beim Erwerb des Kulturgutes Beteiligten,</w:t>
      </w:r>
    </w:p>
    <w:p>
      <w:pPr>
        <w:ind w:left="420"/>
      </w:pPr>
      <w:r>
        <w:t xml:space="preserve">4. der Kaufpreis,</w:t>
      </w:r>
    </w:p>
    <w:p>
      <w:pPr>
        <w:ind w:left="420"/>
      </w:pPr>
      <w:r>
        <w:t xml:space="preserve">5. die Einsichtnahme des Eigenbesitzers in die zugänglichen Verzeichnisse entwendeten Kulturgutes und das Einholen einschlägiger Informationen, die er mit zumutbarem Aufwand erhalten konnte, und</w:t>
      </w:r>
    </w:p>
    <w:p>
      <w:pPr>
        <w:ind w:left="420"/>
      </w:pPr>
      <w:r>
        <w:t xml:space="preserve">6. jeder andere Schritt, den eine vernünftige Person unter denselben Umständen unternommen hätte.</w:t>
      </w:r>
    </w:p>
    <w:p>
      <w:r>
        <w:t xml:space="preserve">(4) § 52 Absatz 3 bleibt unberührt.</w:t>
      </w:r>
    </w:p>
    <w:p>
      <w:r>
        <w:rPr>
          <w:color w:val="555555"/>
          <w:sz w:val="17"/>
        </w:rPr>
        <w:t xml:space="preserve">Zitiervorschlag: § 66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