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KGSG — Kosten der Rückgabe und Erhaltungsmaßnahmen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Kosten, die sich aufgrund der Rückgabe ergeben, gehen zu Lasten des ersuchenden Mitgliedstaates oder Vertragsstaates.</w:t>
      </w:r>
    </w:p>
    <w:p>
      <w:r>
        <w:t xml:space="preserve">(2) Die Kosten, die durch Durchführung oder Veranlassung von notwendigen Maßnahmen zur Erhaltung des sichergestellten Kulturgutes entstehen, gehen zu Lasten des ersuchenden Mitgliedstaates oder Vertragsstaates. § 64 ist entsprechend anzuwenden.</w:t>
      </w:r>
    </w:p>
    <w:p>
      <w:r>
        <w:rPr>
          <w:color w:val="555555"/>
          <w:sz w:val="17"/>
        </w:rPr>
        <w:t xml:space="preserve">Zitiervorschlag: § 65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