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KGSG — Zulässigkeit der Klage auf Rückgabe</w:t>
      </w:r>
    </w:p>
    <w:p>
      <w:r>
        <w:rPr>
          <w:color w:val="555555"/>
          <w:sz w:val="18"/>
        </w:rPr>
        <w:t xml:space="preserve">Kulturgutschutzgesetz</w:t>
      </w:r>
    </w:p>
    <w:p>
      <w:r>
        <w:rPr>
          <w:color w:val="555555"/>
          <w:sz w:val="18"/>
        </w:rPr>
        <w:t xml:space="preserve">Stand: 10.06.2019 (konsolidierte Textfassung, kein amtliches Inkrafttretensdatum)</w:t>
      </w:r>
    </w:p>
    <w:p>
      <w:r>
        <w:t xml:space="preserve">(1) Die Klage eines ersuchenden Mitgliedstaates oder Vertragsstaates auf Rückgabe ist nur dann zulässig, wenn der Klageschrift folgende Unterlagen beigefügt sind:</w:t>
      </w:r>
    </w:p>
    <w:p>
      <w:pPr>
        <w:ind w:left="420"/>
      </w:pPr>
      <w:r>
        <w:t xml:space="preserve">1. eine geeignete Beschreibung des Kulturgutes mit Angaben über</w:t>
      </w:r>
    </w:p>
    <w:p>
      <w:pPr>
        <w:ind w:left="780"/>
      </w:pPr>
      <w:r>
        <w:t xml:space="preserve">a) die Identität und Herkunft,</w:t>
      </w:r>
    </w:p>
    <w:p>
      <w:pPr>
        <w:ind w:left="780"/>
      </w:pPr>
      <w:r>
        <w:t xml:space="preserve">b) den tatsächlichen oder mutmaßlichen Zeitpunkt der Verbringung und</w:t>
      </w:r>
    </w:p>
    <w:p>
      <w:pPr>
        <w:ind w:left="780"/>
      </w:pPr>
      <w:r>
        <w:t xml:space="preserve">c) den tatsächlichen oder mutmaßlichen Ort der Belegenheit im Bundesgebiet,</w:t>
      </w:r>
    </w:p>
    <w:p>
      <w:pPr>
        <w:ind w:left="420"/>
      </w:pPr>
      <w:r>
        <w:t xml:space="preserve">2. eine Erklärung, dass es sich um ein nach nationalen Rechtsvorschriften oder Verwaltungsverfahren des ersuchenden Mitgliedstaates oder Vertragsstaates nationales Kulturgut handelt, und</w:t>
      </w:r>
    </w:p>
    <w:p>
      <w:pPr>
        <w:ind w:left="420"/>
      </w:pPr>
      <w:r>
        <w:t xml:space="preserve">3. eine Erklärung des ersuchenden Mitgliedstaates oder Vertragsstaates, dass das Kulturgut unrechtmäßig aus seinem Hoheitsgebiet ausgeführt worden ist.</w:t>
      </w:r>
    </w:p>
    <w:p>
      <w:r>
        <w:t xml:space="preserve">(2) Die Klage auf Rückgabe ist unzulässig, wenn das Verbringen des Kulturgutes aus dem Hoheitsgebiet des ersuchenden Mitgliedstaates oder Vertragsstaates zu dem Zeitpunkt, zu dem die Klage erhoben wird, nicht mehr unrechtmäßig ist.</w:t>
      </w:r>
    </w:p>
    <w:p>
      <w:r>
        <w:rPr>
          <w:color w:val="555555"/>
          <w:sz w:val="17"/>
        </w:rPr>
        <w:t xml:space="preserve">Zitiervorschlag: § 63 KGSG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https://recht.nulegal.eu/gesetze/KGSG/63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