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KGSG — Aufgaben der obersten Bundesbehörden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für Kultur und Medien zuständige oberste Bundesbehörde hat folgende Aufgaben:</w:t>
      </w:r>
    </w:p>
    <w:p>
      <w:pPr>
        <w:ind w:left="420"/>
      </w:pPr>
      <w:r>
        <w:t xml:space="preserve">1. Unterrichtung des betroffenen Mitgliedstaates über das Auffinden und die Sicherstellung von Kulturgut, bei dem der Verdacht besteht, dass es unrechtmäßig eingeführt worden ist,</w:t>
      </w:r>
    </w:p>
    <w:p>
      <w:pPr>
        <w:ind w:left="420"/>
      </w:pPr>
      <w:r>
        <w:t xml:space="preserve">2. Unterstützung des behördlichen Vermittlungsverfahrens zwischen dem ersuchenden Mitgliedstaat und dem Rückgabeschuldner und</w:t>
      </w:r>
    </w:p>
    <w:p>
      <w:pPr>
        <w:ind w:left="420"/>
      </w:pPr>
      <w:r>
        <w:t xml:space="preserve">3. Mitteilung an die zentralen Stellen der anderen Mitgliedstaaten, wenn der ersuchende Mitgliedstaat Klage auf Rückgabe erhoben hat.</w:t>
      </w:r>
    </w:p>
    <w:p>
      <w:r>
        <w:t xml:space="preserve">(2) Das Auswärtige Amt hat in Zusammenarbeit mit der für Kultur und Medien zuständigen obersten Bundesbehörde folgende Aufgaben:</w:t>
      </w:r>
    </w:p>
    <w:p>
      <w:pPr>
        <w:ind w:left="420"/>
      </w:pPr>
      <w:r>
        <w:t xml:space="preserve">1. Unterrichtung des betroffenen Vertragsstaates über das Auffinden und die Sicherstellung von Kulturgut, bei dem Verdacht besteht, dass es unrechtmäßig eingeführt worden ist, und</w:t>
      </w:r>
    </w:p>
    <w:p>
      <w:pPr>
        <w:ind w:left="420"/>
      </w:pPr>
      <w:r>
        <w:t xml:space="preserve">2. Durchführung des behördlichen Vermittlungsverfahrens zwischen dem ersuchenden Vertragsstaat und dem Rückgabeschuldner.</w:t>
      </w:r>
    </w:p>
    <w:p>
      <w:r>
        <w:rPr>
          <w:color w:val="555555"/>
          <w:sz w:val="17"/>
        </w:rPr>
        <w:t xml:space="preserve">Zitiervorschlag: § 62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