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KGSG — Aufgaben der Länder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Behörde eines Landes hat insbesondere folgende Aufgaben:</w:t>
      </w:r>
    </w:p>
    <w:p>
      <w:pPr>
        <w:ind w:left="420"/>
      </w:pPr>
      <w:r>
        <w:t xml:space="preserve">1. Nachforschungen nach Kulturgut, bei dem der Verdacht besteht, dass es unrechtmäßig verbracht worden ist oder unrechtmäßig in Verkehr gebracht worden ist,</w:t>
      </w:r>
    </w:p>
    <w:p>
      <w:pPr>
        <w:ind w:left="420"/>
      </w:pPr>
      <w:r>
        <w:t xml:space="preserve">2. Nachforschungen nach dem Eigentümer oder dem unmittelbaren Besitzer des betreffenden Kulturgutes,</w:t>
      </w:r>
    </w:p>
    <w:p>
      <w:pPr>
        <w:ind w:left="420"/>
      </w:pPr>
      <w:r>
        <w:t xml:space="preserve">3. Unterstützung der Nachforschungen des ersuchenden Mitgliedstaates oder Vertragsstaates, insbesondere nach dem Eigentümer oder dem unmittelbaren Besitzer des betreffenden Kulturgutes,</w:t>
      </w:r>
    </w:p>
    <w:p>
      <w:pPr>
        <w:ind w:left="420"/>
      </w:pPr>
      <w:r>
        <w:t xml:space="preserve">4. Durchführung oder Veranlassung von Maßnahmen zur Erhaltung des sichergestellten Kulturgutes,</w:t>
      </w:r>
    </w:p>
    <w:p>
      <w:pPr>
        <w:ind w:left="420"/>
      </w:pPr>
      <w:r>
        <w:t xml:space="preserve">5. Durchführung von Maßnahmen, die verhindern, dass das Kulturgut der Rückgabe entzogen wird,</w:t>
      </w:r>
    </w:p>
    <w:p>
      <w:pPr>
        <w:ind w:left="420"/>
      </w:pPr>
      <w:r>
        <w:t xml:space="preserve">6. Durchführung des behördlichen Vermittlungsverfahrens zwischen dem ersuchenden Mitgliedstaat und dem Rückgabeschuldner und</w:t>
      </w:r>
    </w:p>
    <w:p>
      <w:pPr>
        <w:ind w:left="420"/>
      </w:pPr>
      <w:r>
        <w:t xml:space="preserve">7. Unterstützung des Bundes bei der Rückgabe von Kulturgut.</w:t>
      </w:r>
    </w:p>
    <w:p>
      <w:r>
        <w:t xml:space="preserve">(2) Zur Unterstützung nach Absatz 1 Nummer 3 ist die zuständige Behörde nur verpflichtet, wenn ein Mitgliedstaat innerhalb von sechs Monaten nach Unterrichtung nach § 62 Absatz 1 Nummer 1 der zuständigen Behörde mitteilt, dass es sich um ein Kulturgut im Sinne des Artikels 2 Nummer 1 der Richtlinie 2014/60/EU handelt. Lässt ein Mitgliedstaat diese Frist ohne diese Mitteilung verstreichen, so ist die zuständige Behörde nicht mehr verpflichtet, Maßnahmen nach Absatz 1 Nummer 4 und 5 zu ergreifen.</w:t>
      </w:r>
    </w:p>
    <w:p>
      <w:r>
        <w:rPr>
          <w:color w:val="555555"/>
          <w:sz w:val="17"/>
        </w:rPr>
        <w:t xml:space="preserve">Zitiervorschlag: § 61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