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KGSG — Kollidierende Rückgabeersuchen</w:t>
      </w:r>
    </w:p>
    <w:p>
      <w:r>
        <w:rPr>
          <w:color w:val="555555"/>
          <w:sz w:val="18"/>
        </w:rPr>
        <w:t xml:space="preserve">Kulturgutschutzgesetz</w:t>
      </w:r>
    </w:p>
    <w:p>
      <w:r>
        <w:rPr>
          <w:color w:val="555555"/>
          <w:sz w:val="18"/>
        </w:rPr>
        <w:t xml:space="preserve">Stand: 23.07.2025 (konsolidierte Textfassung, kein amtliches Inkrafttretensdatum)</w:t>
      </w:r>
    </w:p>
    <w:p>
      <w:r>
        <w:t xml:space="preserve">Stellen zu demselben Kulturgut mehrere Staaten oder zuständige Behörden des Herkunftsgebiets im Sinne des § 53 Absatz 1 Rückgabeersuchen und lässt sich nicht klären, welchem Staat das Kulturgut zuzuordnen ist, so ist es erst zurückzugeben, wenn die Einigung der betroffenen Staaten oder zuständige Behörden des Herkunftsgebiets im Sinne des § 53 Absatz 1 schriftlich festgehalten und der für Kultur und Medien zuständigen obersten Bundesbehörde sowie dem Auswärtigen Amt mitgeteilt worden ist.</w:t>
      </w:r>
    </w:p>
    <w:p>
      <w:r>
        <w:rPr>
          <w:color w:val="555555"/>
          <w:sz w:val="17"/>
        </w:rPr>
        <w:t xml:space="preserve">Zitiervorschlag: § 60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