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KGSG — Rückgabeersuchen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Rückgabeersuchen ist zu stellen für</w:t>
      </w:r>
    </w:p>
    <w:p>
      <w:pPr>
        <w:ind w:left="420"/>
      </w:pPr>
      <w:r>
        <w:t xml:space="preserve">1. den Rückgabeanspruch eines Mitgliedstaates nach § 50 bei der für Kultur und Medien zuständigen obersten Bundesbehörde oder</w:t>
      </w:r>
    </w:p>
    <w:p>
      <w:pPr>
        <w:ind w:left="420"/>
      </w:pPr>
      <w:r>
        <w:t xml:space="preserve">2. Ansprüche nach den §§ 51 bis 53 auf diplomatischem Weg beim Auswärtigen Amt.</w:t>
      </w:r>
    </w:p>
    <w:p>
      <w:r>
        <w:rPr>
          <w:color w:val="555555"/>
          <w:sz w:val="17"/>
        </w:rPr>
        <w:t xml:space="preserve">Zitiervorschlag: § 59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