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KGSG — Hemmung und Neubeginn der Verjährung und Erlöschensfristen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Verjährung und auf die Frist nach § 55 Absatz 1 Satz 2 sind die Vorschriften über die Hemmung der Verjährung nach den §§ 204, 206 und 209 des Bürgerlichen Gesetzbuches und über den Neubeginn der Verjährung nach § 212 des Bürgerlichen Gesetzbuches entsprechend anzuwenden.</w:t>
      </w:r>
    </w:p>
    <w:p>
      <w:r>
        <w:t xml:space="preserve">(2) Die Verjährung und die Frist nach § 55 Absatz 1 Satz 2 sind wegen höherer Gewalt insbesondere auch gehemmt, solange der ersuchende Mitgliedstaat oder Vertragsstaat durch innere Unruhen, bewaffnete Konflikte oder vergleichbare Umstände gehindert ist, seine Ansprüche geltend zu machen.</w:t>
      </w:r>
    </w:p>
    <w:p>
      <w:r>
        <w:rPr>
          <w:color w:val="555555"/>
          <w:sz w:val="17"/>
        </w:rPr>
        <w:t xml:space="preserve">Zitiervorschlag: § 57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