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KGSG — Befristung und Verjährung des Rückgabeanspruchs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Rückgabeansprüche unterliegen nicht der Verjährung, wenn sie auf die Rückgabe von Kulturgut gerichtet sind, das</w:t>
      </w:r>
    </w:p>
    <w:p>
      <w:pPr>
        <w:ind w:left="420"/>
      </w:pPr>
      <w:r>
        <w:t xml:space="preserve">1. zu öffentlichen Sammlungen nach Artikel 2 Nummer 8 der Richtlinie 2014/60/EU gehört oder</w:t>
      </w:r>
    </w:p>
    <w:p>
      <w:pPr>
        <w:ind w:left="420"/>
      </w:pPr>
      <w:r>
        <w:t xml:space="preserve">2. in einem Bestandsverzeichnis kirchlicher oder anderer religiöser Einrichtungen in den Mitgliedstaaten aufgeführt ist, in denen es nach den in diesem Mitgliedstaat geltenden Rechtsvorschriften besonderen Schutzregelungen unterliegt.</w:t>
      </w:r>
    </w:p>
    <w:p>
      <w:r>
        <w:t xml:space="preserve">Die Ansprüche nach Satz 1 erlöschen 75 Jahre nach ihrem Entstehen. Ein Anspruch erlischt nicht nach Satz 2, wenn der ersuchende Mitgliedstaat in seinem Recht bestimmt, dass solche Rückgabeansprüche nicht erlöschen.</w:t>
      </w:r>
    </w:p>
    <w:p>
      <w:r>
        <w:t xml:space="preserve">(2) Rückgabeansprüche verjähren außer in den Fällen des Absatzes 1 ohne Rücksicht auf die Kenntnis in 30 Jahren ab dem Zeitpunkt der unrechtmäßigen Verbringung des Kulturgutes aus dem Hoheitsgebiet des ersuchenden Mitgliedstaates oder Vertragsstaates.</w:t>
      </w:r>
    </w:p>
    <w:p>
      <w:r>
        <w:t xml:space="preserve">(3) Alle anderen Ansprüche auf Rückgabe von Kulturgut nach diesem Abschnitt verjähren nach drei Jahren.</w:t>
      </w:r>
    </w:p>
    <w:p>
      <w:r>
        <w:rPr>
          <w:color w:val="555555"/>
          <w:sz w:val="17"/>
        </w:rPr>
        <w:t xml:space="preserve">Zitiervorschlag: § 55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