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KGSG — Anzuwendendes Zivilrecht</w:t>
      </w:r>
    </w:p>
    <w:p>
      <w:r>
        <w:rPr>
          <w:color w:val="555555"/>
          <w:sz w:val="18"/>
        </w:rPr>
        <w:t xml:space="preserve">Kulturgutschutzgesetz</w:t>
      </w:r>
    </w:p>
    <w:p>
      <w:r>
        <w:rPr>
          <w:color w:val="555555"/>
          <w:sz w:val="18"/>
        </w:rPr>
        <w:t xml:space="preserve">Stand: 10.06.2019 (konsolidierte Textfassung, kein amtliches Inkrafttretensdatum)</w:t>
      </w:r>
    </w:p>
    <w:p>
      <w:r>
        <w:t xml:space="preserve">(1) Wer Eigentümer des Kulturgutes ist, das nach den Bestimmungen dieses Gesetzes in das Hoheitsgebiet eines anderen Mitgliedstaates oder Vertragsstaates zurückgegeben worden ist, bestimmt sich nach den Sachvorschriften dieses Mitgliedstaates oder Vertragsstaates.</w:t>
      </w:r>
    </w:p>
    <w:p>
      <w:r>
        <w:t xml:space="preserve">(2) Rechte, die aufgrund rechtsgeschäftlicher Verfügung oder durch Zwangsvollstreckung oder Arrestvollziehung erworben worden sind, stehen der Rückgabepflicht nicht entgegen.</w:t>
      </w:r>
    </w:p>
    <w:p>
      <w:r>
        <w:rPr>
          <w:color w:val="555555"/>
          <w:sz w:val="17"/>
        </w:rPr>
        <w:t xml:space="preserve">Zitiervorschlag: § 54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