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KGSG — Rückgabeanspruch nach der Haager Konvention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Kulturgut nach Kapitel I Artikel 1 der Haager Konvention, das entgegen § 28 Nummer 3 aufgrund eines bewaffneten Konflikts eingeführt worden ist, ist nach Beendigung des bewaffneten Konflikts an die jeweils zuständige Behörde des Herkunftsgebiets nach Abschnitt I Nummer 3 des Protokolls zur Haager Konvention zurückzugeben, wenn</w:t>
      </w:r>
    </w:p>
    <w:p>
      <w:pPr>
        <w:ind w:left="420"/>
      </w:pPr>
      <w:r>
        <w:t xml:space="preserve">1. es nach dem 11. November 1967 verbracht worden ist und</w:t>
      </w:r>
    </w:p>
    <w:p>
      <w:pPr>
        <w:ind w:left="420"/>
      </w:pPr>
      <w:r>
        <w:t xml:space="preserve">2. die jeweils zuständige Behörde des Herkunftsgebiets um Rückgabe ersucht.</w:t>
      </w:r>
    </w:p>
    <w:p>
      <w:r>
        <w:t xml:space="preserve">(2) Kulturgut, das im Sinne von Abschnitt II Nummer 5 des Protokolls zur Haager Konvention deponiert worden ist, ist nach Beendigung des bewaffneten Konflikts zurückzugeben, ohne dass die Voraussetzungen des Absatzes 1 Nummer 1 und 2 erfüllt sein müssen.</w:t>
      </w:r>
    </w:p>
    <w:p>
      <w:r>
        <w:rPr>
          <w:color w:val="555555"/>
          <w:sz w:val="17"/>
        </w:rPr>
        <w:t xml:space="preserve">Zitiervorschlag: § 53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