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KGSG — Rückgabeanspruch eines Vertragsstaates</w:t>
      </w:r>
    </w:p>
    <w:p>
      <w:r>
        <w:rPr>
          <w:color w:val="555555"/>
          <w:sz w:val="18"/>
        </w:rPr>
        <w:t xml:space="preserve">Kulturgutschutzgesetz</w:t>
      </w:r>
    </w:p>
    <w:p>
      <w:r>
        <w:rPr>
          <w:color w:val="555555"/>
          <w:sz w:val="18"/>
        </w:rPr>
        <w:t xml:space="preserve">Stand: 23.07.2025 (konsolidierte Textfassung, kein amtliches Inkrafttretensdatum)</w:t>
      </w:r>
    </w:p>
    <w:p>
      <w:r>
        <w:t xml:space="preserve">(1) Auf Ersuchen eines Vertragsstaates ist Kulturgut zurückzugeben, wenn es</w:t>
      </w:r>
    </w:p>
    <w:p>
      <w:pPr>
        <w:ind w:left="420"/>
      </w:pPr>
      <w:r>
        <w:t xml:space="preserve">1. einer der in Artikel 1 des UNESCO-Übereinkommens genannten Kategorien angehört,</w:t>
      </w:r>
    </w:p>
    <w:p>
      <w:pPr>
        <w:ind w:left="420"/>
      </w:pPr>
      <w:r>
        <w:t xml:space="preserve">2. aus dessen Hoheitsgebiet nach dem 26. April 2007 unter Verstoß gegen dortige Rechtsvorschriften verbracht worden ist,</w:t>
      </w:r>
    </w:p>
    <w:p>
      <w:pPr>
        <w:ind w:left="420"/>
      </w:pPr>
      <w:r>
        <w:t xml:space="preserve">3. vor der Ausfuhr von dem ersuchenden Vertragsstaat als bedeutsam nach Artikel 1 des UNESCO-Übereinkommens oder im Sinne des Artikels 13 Buchstabe d des UNESCO-Übereinkommens als unveräußerlich eingestuft oder erklärt worden ist und</w:t>
      </w:r>
    </w:p>
    <w:p>
      <w:pPr>
        <w:ind w:left="420"/>
      </w:pPr>
      <w:r>
        <w:t xml:space="preserve">4. hinsichtlich seiner Herkunft dem ersuchenden Vertragsstaat zuzuordnen ist, insbesondere wenn es zum Bestand einer Einrichtung im Vertragsstaat gehört oder eine Einigung nach § 60 vorliegt.</w:t>
      </w:r>
    </w:p>
    <w:p>
      <w:r>
        <w:t xml:space="preserve">(2) Lässt sich nicht klären, ob das Kulturgut nach dem 26. April 2007 verbracht worden ist, so wird widerleglich vermutet, dass das Kulturgut nach diesem Tag aus dem Hoheitsgebiet des Vertragsstaates verbracht worden ist. Diese Vermutung kann nur durch den Nachweis widerlegt werden, dass sich das Kulturgut schon vor diesem Tag im Bundesgebiet, im Binnenmarkt oder in einem Drittstaat befunden hat. Die Abgabe einer Versicherung an Eides statt ist zur Erbringung des Nachweises nach Satz 2 zulässig gemäß § 27 Absatz 1 des Verwaltungsverfahrensgesetzes sowie gemäß der Verwaltungsverfahrensgesetze der Länder. Für die Abnahme zuständig sind im Rahmen des behördlichen Vermittlungsverfahrens die in § 61 Absatz 1 Nummer 6 und 7 und § 62 Absatz 1 Nummer 2 und Absatz 2 Nummer 2 genannten Behörden.</w:t>
      </w:r>
    </w:p>
    <w:p>
      <w:r>
        <w:t xml:space="preserve">(3) Wird der Nachweis erbracht, dass sich das Kulturgut vor dem 6. August 2016 im Bundesgebiet befunden hat, so sind abweichend von Absatz 1 für den Rückgabeanspruch des Vertragsstaates § 6 Absatz 2 und für die Entschädigung § 10 des Kulturgüterrückgabegesetzes vom 18. Mai 2007 (BGBl. I S. 757, 2547) in der bis zum 5. August 2016 geltenden Fassung anzuwenden.</w:t>
      </w:r>
    </w:p>
    <w:p>
      <w:r>
        <w:rPr>
          <w:color w:val="555555"/>
          <w:sz w:val="17"/>
        </w:rPr>
        <w:t xml:space="preserve">Zitiervorschlag: § 52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