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KGSG — Öffentlich-rechtliche Rückgabeansprüche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(1) Ansprüche auf Rückgabe von Kulturgut nach diesem Abschnitt sind öffentlich-rechtliche Ansprüche. Zivilrechtliche Ansprüche bleiben davon unberührt.</w:t>
      </w:r>
    </w:p>
    <w:p>
      <w:r>
        <w:t xml:space="preserve">(2) Rückgabeschuldner ist der Eigenbesitzer, hilfsweise der Fremdbesitzer.</w:t>
      </w:r>
    </w:p>
    <w:p>
      <w:r>
        <w:rPr>
          <w:color w:val="555555"/>
          <w:sz w:val="17"/>
        </w:rPr>
        <w:t xml:space="preserve">Zitiervorschlag: § 49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