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KGSG — Auskunftspflicht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in Ausübung einer gewerblichen Tätigkeit Kulturgut in Verkehr bringt, ist verpflichtet, der zuständigen Behörde auf Verlangen</w:t>
      </w:r>
    </w:p>
    <w:p>
      <w:pPr>
        <w:ind w:left="420"/>
      </w:pPr>
      <w:r>
        <w:t xml:space="preserve">1. die Aufzeichnungen nach § 45 vorzulegen oder</w:t>
      </w:r>
    </w:p>
    <w:p>
      <w:pPr>
        <w:ind w:left="420"/>
      </w:pPr>
      <w:r>
        <w:t xml:space="preserve">2. Auskunft über die nach § 41 Absatz 1 über ein Kulturgut gewonnenen Informationen zu erteilen.</w:t>
      </w:r>
    </w:p>
    <w:p>
      <w:r>
        <w:t xml:space="preserve">Die nach Satz 1 vorzulegenden Aufzeichnungen und zu erteilenden Auskünfte beschränken sich auf die Informationen, die für die zuständigen Behörden zur Durchführung ihrer Aufgaben nach diesem Gesetz erforderlich sind.</w:t>
      </w:r>
    </w:p>
    <w:p>
      <w:r>
        <w:t xml:space="preserve">(2) § 29 der Gewerbeordnung bleibt unberührt.</w:t>
      </w:r>
    </w:p>
    <w:p>
      <w:r>
        <w:rPr>
          <w:color w:val="555555"/>
          <w:sz w:val="17"/>
        </w:rPr>
        <w:t xml:space="preserve">Zitiervorschlag: § 46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