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KGSG — Erhöhte Sorgfaltspflichten beim gewerblichen Inverkehrbringen</w:t>
      </w:r>
    </w:p>
    <w:p>
      <w:r>
        <w:rPr>
          <w:color w:val="555555"/>
          <w:sz w:val="18"/>
        </w:rPr>
        <w:t xml:space="preserve">Kulturgutschutzgesetz</w:t>
      </w:r>
    </w:p>
    <w:p>
      <w:r>
        <w:rPr>
          <w:color w:val="555555"/>
          <w:sz w:val="18"/>
        </w:rPr>
        <w:t xml:space="preserve">Stand: 23.07.2025 (konsolidierte Textfassung, kein amtliches Inkrafttretensdatum)</w:t>
      </w:r>
    </w:p>
    <w:p>
      <w:r>
        <w:t xml:space="preserve">Beim gewerblichen Inverkehrbringen ist der Maßstab des zumutbaren Aufwandes nach § 42 Absatz 1 Satz 3 nicht für Kulturgut anzuwenden,</w:t>
      </w:r>
    </w:p>
    <w:p>
      <w:pPr>
        <w:ind w:left="420"/>
      </w:pPr>
      <w:r>
        <w:t xml:space="preserve">1. bei dem nachgewiesen oder zu vermuten ist, dass es zwischen dem 30. Januar 1933 und dem 8. Mai 1945 aufgrund der Verfolgung durch den Nationalsozialismus entzogen worden ist, es sei denn, das Kulturgut ist an seinen ursprünglichen Eigentümer oder dessen Erben zurückgegeben worden oder diese haben eine andere abschließende Regelung im Hinblick auf den Entzug getroffen,</w:t>
      </w:r>
    </w:p>
    <w:p>
      <w:pPr>
        <w:ind w:left="420"/>
      </w:pPr>
      <w:r>
        <w:t xml:space="preserve">2. das aus einem Mitgliedstaat oder Vertragsstaat stammt, für den der Internationale Museumsrat eine Rote Liste gefährdeter Kulturgüter veröffentlicht hat, oder</w:t>
      </w:r>
    </w:p>
    <w:p>
      <w:pPr>
        <w:ind w:left="420"/>
      </w:pPr>
      <w:r>
        <w:t xml:space="preserve">3. für das ein Verbot zur Ein- oder Ausfuhr sowie zum Inverkehrbringen nach einer Verordnung der Europäischen Union maßgebend ist, das folgenden Zwecken dient:</w:t>
      </w:r>
    </w:p>
    <w:p>
      <w:pPr>
        <w:ind w:left="780"/>
      </w:pPr>
      <w:r>
        <w:t xml:space="preserve">a) der Durchführung einer vom Rat der Europäischen Union im Bereich der Gemeinsamen Außen- und Sicherheitspolitik beschlossenen wirtschaftlichen Sanktionsmaßnahme oder</w:t>
      </w:r>
    </w:p>
    <w:p>
      <w:pPr>
        <w:ind w:left="780"/>
      </w:pPr>
      <w:r>
        <w:t xml:space="preserve">b) dem Artenschutz.</w:t>
      </w:r>
    </w:p>
    <w:p>
      <w:r>
        <w:t xml:space="preserve">Auf Kulturgut nach Satz 1 ist § 42 Absatz 3 nicht anzuwenden.</w:t>
      </w:r>
    </w:p>
    <w:p>
      <w:r>
        <w:rPr>
          <w:color w:val="555555"/>
          <w:sz w:val="17"/>
        </w:rPr>
        <w:t xml:space="preserve">Zitiervorschlag: § 44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