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KGSG — Erleichterte Sorgfaltspflichten beim gewerblichen Inverkehrbringen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Erleichterte Sorgfaltspflichten gelten, wenn</w:t>
      </w:r>
    </w:p>
    <w:p>
      <w:pPr>
        <w:ind w:left="420"/>
      </w:pPr>
      <w:r>
        <w:t xml:space="preserve">1. der Urheber oder Hersteller des Kulturgutes dieses in Verkehr bringt oder</w:t>
      </w:r>
    </w:p>
    <w:p>
      <w:pPr>
        <w:ind w:left="420"/>
      </w:pPr>
      <w:r>
        <w:t xml:space="preserve">2. jemand das Kulturgut unmittelbar von dessen Urheber oder Hersteller erworben hat und es in Verkehr bringt oder</w:t>
      </w:r>
    </w:p>
    <w:p>
      <w:pPr>
        <w:ind w:left="420"/>
      </w:pPr>
      <w:r>
        <w:t xml:space="preserve">3. jemand für den Urheber oder Hersteller das von diesem geschaffene Kulturgut in Verkehr bringt.</w:t>
      </w:r>
    </w:p>
    <w:p>
      <w:r>
        <w:t xml:space="preserve">Die erleichterten Sorgfaltspflichten umfassen zusätzlich zu den Pflichten nach § 41 nur diejenigen nach § 42 Absatz 1 Nummer 1 und 2. § 42 Absatz 2 und 3 ist entsprechend anzuwenden.</w:t>
      </w:r>
    </w:p>
    <w:p>
      <w:r>
        <w:rPr>
          <w:color w:val="555555"/>
          <w:sz w:val="17"/>
        </w:rPr>
        <w:t xml:space="preserve">Zitiervorschlag: § 43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