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KGSG — Verbot des Inverkehrbringens</w:t>
      </w:r>
    </w:p>
    <w:p>
      <w:r>
        <w:rPr>
          <w:color w:val="555555"/>
          <w:sz w:val="18"/>
        </w:rPr>
        <w:t xml:space="preserve">Kulturgutschutzgesetz</w:t>
      </w:r>
    </w:p>
    <w:p>
      <w:r>
        <w:rPr>
          <w:color w:val="555555"/>
          <w:sz w:val="18"/>
        </w:rPr>
        <w:t xml:space="preserve">Stand: 10.06.2019 (konsolidierte Textfassung, kein amtliches Inkrafttretensdatum)</w:t>
      </w:r>
    </w:p>
    <w:p>
      <w:r>
        <w:t xml:space="preserve">(1) Verboten ist das Inverkehrbringen von Kulturgut, das abhandengekommen ist, rechtswidrig ausgegraben oder unrechtmäßig eingeführt worden ist.</w:t>
      </w:r>
    </w:p>
    <w:p>
      <w:r>
        <w:t xml:space="preserve">(2) Verpflichtungs- und Verfügungsgeschäfte, die nach Absatz 1 verboten sind, sind nichtig.</w:t>
      </w:r>
    </w:p>
    <w:p>
      <w:r>
        <w:t xml:space="preserve">(3) Verpflichtungs- und Verfügungsgeschäfte über Kulturgut, das entgegen § 21 ausgeführt worden ist, sind verboten.</w:t>
      </w:r>
    </w:p>
    <w:p>
      <w:r>
        <w:t xml:space="preserve">(4) Derjenige, der das Kulturgut unter Verstoß gegen das Verbot in Absatz 1 in Verkehr gebracht hat, ist dem Erwerber zum Ersatz des Schadens unter Einschluss des Ersatzes der Aufwendungen anlässlich des Erwerbs und der Aufwendungen zur Erhaltung des Kulturgutes verpflichtet. Dies gilt nicht, wenn derjenige, der das Kulturgut in Verkehr gebracht hat, nachweist, dass er den Verstoß nicht zu vertreten hat.</w:t>
      </w:r>
    </w:p>
    <w:p>
      <w:r>
        <w:rPr>
          <w:color w:val="555555"/>
          <w:sz w:val="17"/>
        </w:rPr>
        <w:t xml:space="preserve">Zitiervorschlag: § 40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