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KGSG — Kosten für Sicherstellung, Verwahrung, Erhaltung und Herausgabe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23.07.2025 (konsolidierte Textfassung, kein amtliches Inkrafttretensdatum)</w:t>
      </w:r>
    </w:p>
    <w:p>
      <w:r>
        <w:t xml:space="preserve">Die notwendigen Kosten (Gebühren und Auslagen) für die Sicherstellung, Verwahrung, Erhaltung und Herausgabe des Kulturgutes trägt die Person, der der Gewahrsam entzogen worden ist oder in den Fällen des § 33 Absatz 2 Satz 2 der im Bundesgebiet ansässige Empfänger, oder der im Bundesgebiet ansässige Versender. Die §§ 66 bis 68 bleiben unberührt. Die zuständige Behörde setzt den zu erstattenden Betrag durch Bescheid fest.</w:t>
      </w:r>
    </w:p>
    <w:p>
      <w:r>
        <w:rPr>
          <w:color w:val="555555"/>
          <w:sz w:val="17"/>
        </w:rPr>
        <w:t xml:space="preserve">Zitiervorschlag: § 39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