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KGSG — Folgen der Einziehung; Entschädigung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Wird sichergestelltes Kulturgut eingezogen, so gehen der Besitz an dem Kulturgut mit der Anordnung der Einziehung und das Eigentum an dem Kulturgut mit der Bestandskraft der Anordnung auf das Land über. Rechte Dritter erlöschen mit der Bestandskraft der Anordnung.</w:t>
      </w:r>
    </w:p>
    <w:p>
      <w:r>
        <w:t xml:space="preserve">(2) Der Eigentümer, dessen Recht an dem Kulturgut durch die Entscheidung erloschen ist, wird von dem Land, in dessen Eigentum das Kulturgut übergegangen ist, unter Berücksichtigung des Verkehrswertes angemessen in Geld entschädigt, es sei denn, es wird rückübereignet, Zug um Zug gegen den Ersatz einer möglichen Entschädigung an den Dritten nach Absatz 3.</w:t>
      </w:r>
    </w:p>
    <w:p>
      <w:r>
        <w:t xml:space="preserve">(3) War das Kulturgut mit dem Recht eines Dritten belastet, das durch die Einziehung erloschen ist, so wird auch der Dritte von dem Land, in dessen Eigentum das Kulturgut übergegangen ist, unter Berücksichtigung des Verkehrswertes angemessen in Geld entschädigt.</w:t>
      </w:r>
    </w:p>
    <w:p>
      <w:r>
        <w:t xml:space="preserve">(4) In den Fällen des Absatzes 2 wird eine Entschädigung nicht gewährt, wenn</w:t>
      </w:r>
    </w:p>
    <w:p>
      <w:pPr>
        <w:ind w:left="420"/>
      </w:pPr>
      <w:r>
        <w:t xml:space="preserve">1. der Eigentümer mindestens leichtfertig dazu beigetragen hat, dass die Voraussetzungen der Sicherstellung und die Voraussetzungen der Einziehung des Kulturgutes vorlagen,</w:t>
      </w:r>
    </w:p>
    <w:p>
      <w:pPr>
        <w:ind w:left="420"/>
      </w:pPr>
      <w:r>
        <w:t xml:space="preserve">2. der Eigentümer das Kulturgut in Kenntnis der Umstände, die die Sicherstellung zugelassen haben, erworben hat oder</w:t>
      </w:r>
    </w:p>
    <w:p>
      <w:pPr>
        <w:ind w:left="420"/>
      </w:pPr>
      <w:r>
        <w:t xml:space="preserve">3. es nach den Umständen, welche die Sicherstellung und Einziehung begründet haben, aufgrund anderer gesetzlicher Vorschriften zulässig wäre, das Kulturgut dem Eigentümer ohne Entschädigung dauernd zu entziehen.</w:t>
      </w:r>
    </w:p>
    <w:p>
      <w:r>
        <w:t xml:space="preserve">Satz 1 ist nicht anzuwenden, soweit die Nichtgewährung der Entschädigung eine unbillige Härte wäre.</w:t>
      </w:r>
    </w:p>
    <w:p>
      <w:r>
        <w:t xml:space="preserve">(5) In den Fällen des Absatzes 3 wird eine Entschädigung nicht gewährt, wenn</w:t>
      </w:r>
    </w:p>
    <w:p>
      <w:pPr>
        <w:ind w:left="420"/>
      </w:pPr>
      <w:r>
        <w:t xml:space="preserve">1. der Dritte wenigstens leichtfertig dazu beigetragen hat, dass die Voraussetzungen der Sicherstellung des Kulturgutes vorlagen,</w:t>
      </w:r>
    </w:p>
    <w:p>
      <w:pPr>
        <w:ind w:left="420"/>
      </w:pPr>
      <w:r>
        <w:t xml:space="preserve">2. der Dritte das Recht an dem Kulturgut in Kenntnis der Umstände, die die Einziehung zugelassen haben, erworben hat oder</w:t>
      </w:r>
    </w:p>
    <w:p>
      <w:pPr>
        <w:ind w:left="420"/>
      </w:pPr>
      <w:r>
        <w:t xml:space="preserve">3. es nach den Umständen, die die Sicherstellung und Einziehung begründet haben, aufgrund anderer gesetzlicher Vorschriften zulässig wäre, das Recht an dem Kulturgut dem Dritten ohne Entschädigung dauernd zu entziehen.</w:t>
      </w:r>
    </w:p>
    <w:p>
      <w:r>
        <w:t xml:space="preserve">Satz 1 ist nicht anzuwenden, soweit die Nichtgewährung der Entschädigung eine unbillige Härte wäre.</w:t>
      </w:r>
    </w:p>
    <w:p>
      <w:r>
        <w:t xml:space="preserve">(6) Der Anspruch auf Entschädigung nach den Absätzen 2 oder 3 erlischt 30 Jahre nach der Bekanntmachung der Anordnung der Einziehung.</w:t>
      </w:r>
    </w:p>
    <w:p>
      <w:r>
        <w:rPr>
          <w:color w:val="555555"/>
          <w:sz w:val="17"/>
        </w:rPr>
        <w:t xml:space="preserve">Zitiervorschlag: § 38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