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KGSG — Einziehung sichergestellten Kulturgutes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Sichergestelltes Kulturgut soll von der zuständigen Behörde eingezogen werden, wenn es in den Fällen des § 36 Absatz 1 Nummer 1 und 2 nicht an den Eigenbesitzer, den Eigentümer, den Berechtigten oder in den Fällen des § 33 Absatz 2 Satz 2 an den im Bundesgebiet ansässigen Empfänger oder an den im Bundesgebiet ansässigen Versender herausgegeben werden kann, weil dieser</w:t>
      </w:r>
    </w:p>
    <w:p>
      <w:pPr>
        <w:ind w:left="420"/>
      </w:pPr>
      <w:r>
        <w:t xml:space="preserve">1. nicht bekannt ist und nicht mit einem vertretbaren Aufwand zu ermitteln ist oder</w:t>
      </w:r>
    </w:p>
    <w:p>
      <w:pPr>
        <w:ind w:left="420"/>
      </w:pPr>
      <w:r>
        <w:t xml:space="preserve">2. das Kulturgut nicht innerhalb der Frist nach § 36 Absatz 2 Satz 2 abholt.</w:t>
      </w:r>
    </w:p>
    <w:p>
      <w:r>
        <w:t xml:space="preserve">Die Anordnung der Einziehung ist nach Landesrecht öffentlich bekannt zu machen und im Internetportal nach § 4 zu veröffentlichen. Sie ist unverzüglich der für Kultur und Medien zuständigen obersten Bundesbehörde zur Erfüllung der Aufgaben nach § 62 mitzuteilen.</w:t>
      </w:r>
    </w:p>
    <w:p>
      <w:r>
        <w:t xml:space="preserve">(2) Die zuständige Behörde kann das eingezogene Kulturgut einer Kulturgut bewahrenden Einrichtung in Verwahrung geben.</w:t>
      </w:r>
    </w:p>
    <w:p>
      <w:r>
        <w:rPr>
          <w:color w:val="555555"/>
          <w:sz w:val="17"/>
        </w:rPr>
        <w:t xml:space="preserve">Zitiervorschlag: § 37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